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E851B2" w14:textId="628A6FBB" w:rsidR="00CA3C46" w:rsidRPr="001D4637" w:rsidRDefault="003B5E52" w:rsidP="00A84A22">
      <w:pPr>
        <w:pStyle w:val="Heading1"/>
        <w:spacing w:before="480" w:after="100" w:afterAutospacing="1"/>
      </w:pPr>
      <w:r>
        <w:t xml:space="preserve">Data </w:t>
      </w:r>
      <w:r w:rsidR="00D77B45">
        <w:t>Quality</w:t>
      </w:r>
      <w:r w:rsidR="00FC5AB1">
        <w:t xml:space="preserve"> </w:t>
      </w:r>
      <w:r w:rsidR="007D70A6">
        <w:t>Standards</w:t>
      </w:r>
    </w:p>
    <w:p w14:paraId="2F715089" w14:textId="4A64AFE9" w:rsidR="00F57414" w:rsidRPr="001D4637" w:rsidRDefault="00F57414" w:rsidP="005B79E3">
      <w:pPr>
        <w:pStyle w:val="Heading2"/>
        <w:spacing w:before="100" w:beforeAutospacing="1" w:after="100" w:afterAutospacing="1"/>
      </w:pPr>
      <w:r w:rsidRPr="001D4637">
        <w:t>Purpose</w:t>
      </w:r>
    </w:p>
    <w:p w14:paraId="2AC5823E" w14:textId="003B45A0" w:rsidR="00B34A83" w:rsidRDefault="00BD06CE" w:rsidP="005B79E3">
      <w:pPr>
        <w:spacing w:before="100" w:beforeAutospacing="1" w:after="100" w:afterAutospacing="1"/>
      </w:pPr>
      <w:r>
        <w:t>Th</w:t>
      </w:r>
      <w:r w:rsidR="00E31D08">
        <w:t>e</w:t>
      </w:r>
      <w:r>
        <w:t xml:space="preserve"> </w:t>
      </w:r>
      <w:r w:rsidR="008138A6">
        <w:t xml:space="preserve">purpose of this </w:t>
      </w:r>
      <w:r>
        <w:t xml:space="preserve">standard document </w:t>
      </w:r>
      <w:r w:rsidR="008138A6">
        <w:t xml:space="preserve">is to </w:t>
      </w:r>
      <w:r w:rsidR="00E31D08">
        <w:t xml:space="preserve">define </w:t>
      </w:r>
      <w:r w:rsidR="00B34A83">
        <w:t xml:space="preserve">the dimensions of data quality and provide </w:t>
      </w:r>
      <w:r w:rsidR="00B2740A">
        <w:t xml:space="preserve">best practice </w:t>
      </w:r>
      <w:r w:rsidR="00B34A83">
        <w:t xml:space="preserve">guidance </w:t>
      </w:r>
      <w:r w:rsidR="00BC1FD7">
        <w:t xml:space="preserve">to </w:t>
      </w:r>
      <w:r w:rsidR="00D73225" w:rsidRPr="00D73225">
        <w:t>ensure consistent, accurate, and reliable data entry processes</w:t>
      </w:r>
      <w:r w:rsidR="00BC1FD7">
        <w:t>.</w:t>
      </w:r>
    </w:p>
    <w:p w14:paraId="0A92EE43" w14:textId="1F774686" w:rsidR="00CA3C46" w:rsidRPr="001D4637" w:rsidRDefault="00642D12" w:rsidP="005B79E3">
      <w:pPr>
        <w:pStyle w:val="Heading2"/>
        <w:spacing w:before="100" w:beforeAutospacing="1" w:after="100" w:afterAutospacing="1"/>
      </w:pPr>
      <w:r>
        <w:t>Sc</w:t>
      </w:r>
      <w:r w:rsidR="00CA3C46" w:rsidRPr="001D4637">
        <w:t>ope</w:t>
      </w:r>
    </w:p>
    <w:p w14:paraId="07972E5D" w14:textId="557DF038" w:rsidR="00DA1822" w:rsidRDefault="00DA1822" w:rsidP="005B79E3">
      <w:pPr>
        <w:spacing w:before="100" w:beforeAutospacing="1" w:after="100" w:afterAutospacing="1"/>
      </w:pPr>
      <w:r w:rsidRPr="00FD75CF">
        <w:t>This policy applies to</w:t>
      </w:r>
      <w:r>
        <w:t xml:space="preserve"> </w:t>
      </w:r>
      <w:r w:rsidR="005244D7">
        <w:t>Office of Data Governance and Analytics (</w:t>
      </w:r>
      <w:r>
        <w:t>ODGA</w:t>
      </w:r>
      <w:r w:rsidR="005244D7">
        <w:t>)</w:t>
      </w:r>
      <w:r w:rsidRPr="00FD75CF">
        <w:t xml:space="preserve"> employees who create, manage, or use </w:t>
      </w:r>
      <w:r w:rsidR="00D45AD6">
        <w:t>data</w:t>
      </w:r>
      <w:r w:rsidRPr="00FD75CF">
        <w:t xml:space="preserve"> </w:t>
      </w:r>
      <w:r>
        <w:t>as well as</w:t>
      </w:r>
      <w:r w:rsidRPr="00FD75CF">
        <w:t xml:space="preserve"> contractors and consultants.</w:t>
      </w:r>
      <w:r>
        <w:t xml:space="preserve"> </w:t>
      </w:r>
    </w:p>
    <w:p w14:paraId="256E7934" w14:textId="03476426" w:rsidR="00CA3C46" w:rsidRDefault="00177C9F" w:rsidP="00A84A22">
      <w:pPr>
        <w:pStyle w:val="Heading2"/>
        <w:spacing w:before="100" w:beforeAutospacing="1" w:after="100" w:afterAutospacing="1"/>
      </w:pPr>
      <w:r>
        <w:t>Standards</w:t>
      </w:r>
    </w:p>
    <w:p w14:paraId="2387E8CD" w14:textId="2F6AF437" w:rsidR="00233F3B" w:rsidRPr="00233F3B" w:rsidRDefault="00410CA8" w:rsidP="00A84A22">
      <w:pPr>
        <w:pStyle w:val="Heading3"/>
        <w:spacing w:before="100" w:beforeAutospacing="1" w:after="100" w:afterAutospacing="1"/>
      </w:pPr>
      <w:r>
        <w:t xml:space="preserve">Data </w:t>
      </w:r>
      <w:r w:rsidR="00233F3B" w:rsidRPr="00233F3B">
        <w:t>Quality Standards</w:t>
      </w:r>
    </w:p>
    <w:p w14:paraId="57C7D78B" w14:textId="5B4C91F2" w:rsidR="00744422" w:rsidRPr="00BE0AFB" w:rsidRDefault="00C529AF" w:rsidP="00A84A22">
      <w:pPr>
        <w:pStyle w:val="ListParagraph"/>
        <w:numPr>
          <w:ilvl w:val="0"/>
          <w:numId w:val="45"/>
        </w:numPr>
        <w:spacing w:before="100" w:beforeAutospacing="1" w:after="100" w:afterAutospacing="1"/>
      </w:pPr>
      <w:r w:rsidRPr="00C529AF">
        <w:t xml:space="preserve">Data quality management processes shall be incorporated to monitor, measure, and improve the quality of data exchanged between systems, ensuring that data is accurate, complete, and consistent across integrated systems. </w:t>
      </w:r>
    </w:p>
    <w:p w14:paraId="08257EC2" w14:textId="1E344F03" w:rsidR="00911896" w:rsidRPr="00BE0AFB" w:rsidRDefault="00911896" w:rsidP="00A84A22">
      <w:pPr>
        <w:pStyle w:val="ListParagraph"/>
        <w:numPr>
          <w:ilvl w:val="0"/>
          <w:numId w:val="45"/>
        </w:numPr>
        <w:spacing w:before="100" w:beforeAutospacing="1" w:after="100" w:afterAutospacing="1"/>
      </w:pPr>
      <w:r>
        <w:t xml:space="preserve">Data quality </w:t>
      </w:r>
      <w:r w:rsidR="004A6EB3">
        <w:t>efforts should focus on preventing data errors and conditions that reduce the usability of data</w:t>
      </w:r>
      <w:r w:rsidR="007E4DB3">
        <w:t xml:space="preserve"> rather than correcting records.</w:t>
      </w:r>
    </w:p>
    <w:p w14:paraId="15BEAF86" w14:textId="2EBB8E91" w:rsidR="00BE0AFB" w:rsidRPr="007D3012" w:rsidRDefault="00456700" w:rsidP="007D3012">
      <w:pPr>
        <w:pStyle w:val="ListParagraph"/>
        <w:numPr>
          <w:ilvl w:val="0"/>
          <w:numId w:val="45"/>
        </w:numPr>
        <w:spacing w:before="100" w:beforeAutospacing="1" w:after="100" w:afterAutospacing="1"/>
      </w:pPr>
      <w:r>
        <w:t xml:space="preserve">Data quality efforts should ensure adherence to the </w:t>
      </w:r>
      <w:r w:rsidR="00602B59" w:rsidRPr="00BE0AFB">
        <w:t>Six Dimensions of Data Quality (</w:t>
      </w:r>
      <w:hyperlink r:id="rId10" w:history="1">
        <w:r w:rsidR="00C424DE" w:rsidRPr="00AC3B0C">
          <w:rPr>
            <w:rStyle w:val="Hyperlink"/>
            <w:color w:val="auto"/>
          </w:rPr>
          <w:t>More Information on the Six Dimensions of Data Quality)</w:t>
        </w:r>
      </w:hyperlink>
      <w:r w:rsidR="007D3012">
        <w:t>)</w:t>
      </w:r>
    </w:p>
    <w:p w14:paraId="00B49394" w14:textId="77777777" w:rsidR="008C3BB1" w:rsidRPr="00BE0AFB" w:rsidRDefault="008C3BB1" w:rsidP="00A84A22">
      <w:pPr>
        <w:pStyle w:val="ListParagraph"/>
        <w:numPr>
          <w:ilvl w:val="1"/>
          <w:numId w:val="45"/>
        </w:numPr>
        <w:spacing w:before="100" w:beforeAutospacing="1" w:after="100" w:afterAutospacing="1"/>
      </w:pPr>
      <w:r w:rsidRPr="00BE0AFB">
        <w:rPr>
          <w:b/>
          <w:bCs/>
        </w:rPr>
        <w:t>Completeness</w:t>
      </w:r>
      <w:r w:rsidRPr="00BE0AFB">
        <w:t>:</w:t>
      </w:r>
      <w:r w:rsidRPr="00692E43">
        <w:t xml:space="preserve"> Data should be complete, containing all necessary information required for its intended use. There should be no missing fields or values unless they are legitimately unavailable.</w:t>
      </w:r>
    </w:p>
    <w:p w14:paraId="1EF92CAD" w14:textId="33608924" w:rsidR="000A4255" w:rsidRPr="00BE0AFB" w:rsidRDefault="008C3BB1" w:rsidP="007D3012">
      <w:pPr>
        <w:pStyle w:val="ListParagraph"/>
        <w:numPr>
          <w:ilvl w:val="1"/>
          <w:numId w:val="45"/>
        </w:numPr>
        <w:spacing w:before="100" w:beforeAutospacing="1" w:after="100" w:afterAutospacing="1"/>
      </w:pPr>
      <w:r w:rsidRPr="00BE0AFB">
        <w:rPr>
          <w:b/>
          <w:bCs/>
        </w:rPr>
        <w:t>Uniqueness</w:t>
      </w:r>
      <w:r w:rsidR="00990F9F" w:rsidRPr="00BE0AFB">
        <w:t xml:space="preserve">:  </w:t>
      </w:r>
      <w:r w:rsidR="0005694B" w:rsidRPr="00BE0AFB">
        <w:t>Data record</w:t>
      </w:r>
      <w:r w:rsidR="0020745B" w:rsidRPr="00BE0AFB">
        <w:t>s</w:t>
      </w:r>
      <w:r w:rsidR="0005694B" w:rsidRPr="00BE0AFB">
        <w:t xml:space="preserve"> or entity </w:t>
      </w:r>
      <w:r w:rsidR="0020745B" w:rsidRPr="00BE0AFB">
        <w:t xml:space="preserve">should be </w:t>
      </w:r>
      <w:r w:rsidR="0005694B" w:rsidRPr="00BE0AFB">
        <w:t>distinct and not contain duplicate entries.</w:t>
      </w:r>
      <w:r w:rsidR="0020745B" w:rsidRPr="00BE0AFB">
        <w:t xml:space="preserve">  U</w:t>
      </w:r>
      <w:r w:rsidR="0005694B" w:rsidRPr="00BE0AFB">
        <w:t>niqueness measures whether each data item, such as a customer record, product ID, or transaction, appears only once in the dataset or database.</w:t>
      </w:r>
    </w:p>
    <w:p w14:paraId="68ABBCC1" w14:textId="5E87E8C1" w:rsidR="008C3BB1" w:rsidRPr="00BE0AFB" w:rsidRDefault="008C3BB1" w:rsidP="00A84A22">
      <w:pPr>
        <w:pStyle w:val="ListParagraph"/>
        <w:numPr>
          <w:ilvl w:val="1"/>
          <w:numId w:val="45"/>
        </w:numPr>
        <w:spacing w:before="100" w:beforeAutospacing="1" w:after="100" w:afterAutospacing="1"/>
      </w:pPr>
      <w:r w:rsidRPr="00BE0AFB">
        <w:rPr>
          <w:b/>
          <w:bCs/>
        </w:rPr>
        <w:t>Timeliness</w:t>
      </w:r>
      <w:r w:rsidRPr="00BE0AFB">
        <w:t>: Data should be up-to-date and relevant for its intended use. It should be collected, processed, and made available within a reasonable timeframe to support decision-making and analysis.</w:t>
      </w:r>
    </w:p>
    <w:p w14:paraId="7B5AB71D" w14:textId="77777777" w:rsidR="00AF103E" w:rsidRPr="00BE0AFB" w:rsidRDefault="00AF103E" w:rsidP="00A84A22">
      <w:pPr>
        <w:pStyle w:val="ListParagraph"/>
        <w:numPr>
          <w:ilvl w:val="1"/>
          <w:numId w:val="45"/>
        </w:numPr>
        <w:spacing w:before="100" w:beforeAutospacing="1" w:after="100" w:afterAutospacing="1"/>
      </w:pPr>
      <w:r w:rsidRPr="00BE0AFB">
        <w:rPr>
          <w:b/>
          <w:bCs/>
        </w:rPr>
        <w:t>Validity</w:t>
      </w:r>
      <w:r w:rsidRPr="00BE0AFB">
        <w:t>:</w:t>
      </w:r>
      <w:r w:rsidRPr="00692E43">
        <w:t xml:space="preserve"> Data should adhere to predefined rules, standards, and constraints. It should be valid in terms of its format, structure, and content, ensuring that it conforms to expected criteria.</w:t>
      </w:r>
    </w:p>
    <w:p w14:paraId="477D4F44" w14:textId="77777777" w:rsidR="00692E43" w:rsidRPr="00BE0AFB" w:rsidRDefault="00692E43" w:rsidP="00A84A22">
      <w:pPr>
        <w:pStyle w:val="ListParagraph"/>
        <w:numPr>
          <w:ilvl w:val="1"/>
          <w:numId w:val="45"/>
        </w:numPr>
        <w:spacing w:before="100" w:beforeAutospacing="1" w:after="100" w:afterAutospacing="1"/>
      </w:pPr>
      <w:r w:rsidRPr="00BE0AFB">
        <w:rPr>
          <w:b/>
          <w:bCs/>
        </w:rPr>
        <w:t>Accuracy</w:t>
      </w:r>
      <w:r w:rsidRPr="00BE0AFB">
        <w:t>:</w:t>
      </w:r>
      <w:r w:rsidRPr="00692E43">
        <w:t xml:space="preserve"> Data should be accurate and precise, reflecting the true value or condition it represents. This means minimizing errors, discrepancies, and inconsistencies.</w:t>
      </w:r>
    </w:p>
    <w:p w14:paraId="38A3DF98" w14:textId="77777777" w:rsidR="00692E43" w:rsidRPr="00BE0AFB" w:rsidRDefault="00692E43" w:rsidP="00A84A22">
      <w:pPr>
        <w:pStyle w:val="ListParagraph"/>
        <w:numPr>
          <w:ilvl w:val="1"/>
          <w:numId w:val="45"/>
        </w:numPr>
        <w:spacing w:before="100" w:beforeAutospacing="1" w:after="100" w:afterAutospacing="1"/>
      </w:pPr>
      <w:r w:rsidRPr="00BE0AFB">
        <w:rPr>
          <w:b/>
          <w:bCs/>
        </w:rPr>
        <w:lastRenderedPageBreak/>
        <w:t>Consistency</w:t>
      </w:r>
      <w:r w:rsidRPr="00BE0AFB">
        <w:t>:</w:t>
      </w:r>
      <w:r w:rsidRPr="00692E43">
        <w:t xml:space="preserve"> Data should be consistent across different datasets, systems, and time periods. Consistency ensures that data can be reliably used and compared without unexpected variations or discrepancies.</w:t>
      </w:r>
    </w:p>
    <w:p w14:paraId="56C91127" w14:textId="11E93EDC" w:rsidR="00283E9B" w:rsidRPr="00BE0AFB" w:rsidRDefault="000D1452" w:rsidP="00A84A22">
      <w:pPr>
        <w:pStyle w:val="ListParagraph"/>
        <w:numPr>
          <w:ilvl w:val="0"/>
          <w:numId w:val="45"/>
        </w:numPr>
        <w:spacing w:before="100" w:beforeAutospacing="1" w:after="100" w:afterAutospacing="1"/>
      </w:pPr>
      <w:r w:rsidRPr="000D1452">
        <w:t>Data Ste</w:t>
      </w:r>
      <w:r>
        <w:t>w</w:t>
      </w:r>
      <w:r w:rsidRPr="000D1452">
        <w:t>ards</w:t>
      </w:r>
      <w:r>
        <w:t xml:space="preserve"> shall set specific data quality metrics and targets for </w:t>
      </w:r>
      <w:r w:rsidR="00B258C0">
        <w:t>Commonwealth of Virginia (</w:t>
      </w:r>
      <w:r>
        <w:t>COV</w:t>
      </w:r>
      <w:r w:rsidR="00B258C0">
        <w:t>)</w:t>
      </w:r>
      <w:r>
        <w:t xml:space="preserve"> critical assets </w:t>
      </w:r>
      <w:r w:rsidR="00EF1922">
        <w:t>in accordance with the tiers defined in Enterprise Architecture Standard EA-225</w:t>
      </w:r>
    </w:p>
    <w:p w14:paraId="21F448A4" w14:textId="02CFEFDD" w:rsidR="00692E43" w:rsidRPr="00BE0AFB" w:rsidRDefault="00692E43" w:rsidP="00A84A22">
      <w:pPr>
        <w:pStyle w:val="ListParagraph"/>
        <w:numPr>
          <w:ilvl w:val="0"/>
          <w:numId w:val="45"/>
        </w:numPr>
        <w:spacing w:before="100" w:beforeAutospacing="1" w:after="100" w:afterAutospacing="1"/>
      </w:pPr>
      <w:r w:rsidRPr="00692E43">
        <w:t>Detailed documentation should accompany the data, describing its source, structure, meaning, and any transformations or processing applied to it. Documentation helps users understand the data and its context, facilitating its proper interpretation and usage.</w:t>
      </w:r>
    </w:p>
    <w:p w14:paraId="3AA7F74B" w14:textId="7E319BFE" w:rsidR="00692E43" w:rsidRPr="00BE0AFB" w:rsidRDefault="00692E43" w:rsidP="00A84A22">
      <w:pPr>
        <w:pStyle w:val="ListParagraph"/>
        <w:numPr>
          <w:ilvl w:val="0"/>
          <w:numId w:val="45"/>
        </w:numPr>
        <w:spacing w:before="100" w:beforeAutospacing="1" w:after="100" w:afterAutospacing="1"/>
      </w:pPr>
      <w:r w:rsidRPr="00692E43">
        <w:t>Data processes and changes should be auditable, allowing for tracking, monitoring, and accountability. Audit trails should be maintained to record data lineage, modifications, and access history for compliance and analysis purposes.</w:t>
      </w:r>
    </w:p>
    <w:p w14:paraId="47A9A309" w14:textId="13AEF170" w:rsidR="00D73225" w:rsidRDefault="00233F3B" w:rsidP="00A84A22">
      <w:pPr>
        <w:pStyle w:val="Heading3"/>
        <w:spacing w:before="100" w:beforeAutospacing="1" w:after="100" w:afterAutospacing="1"/>
      </w:pPr>
      <w:r>
        <w:t xml:space="preserve">Data </w:t>
      </w:r>
      <w:r w:rsidR="00827879">
        <w:t>Quality</w:t>
      </w:r>
      <w:r>
        <w:t xml:space="preserve"> </w:t>
      </w:r>
      <w:r w:rsidR="00B17210">
        <w:t>Best Practices</w:t>
      </w:r>
    </w:p>
    <w:p w14:paraId="63F8E50E" w14:textId="67BBD67E" w:rsidR="00D73225" w:rsidRDefault="00D73225" w:rsidP="00A84A22">
      <w:pPr>
        <w:pStyle w:val="ListParagraph"/>
        <w:numPr>
          <w:ilvl w:val="0"/>
          <w:numId w:val="45"/>
        </w:numPr>
        <w:spacing w:before="100" w:beforeAutospacing="1" w:after="100" w:afterAutospacing="1"/>
      </w:pPr>
      <w:r>
        <w:t>Define the format and structure for data entry, including the type of data (text, numeric, date, etc.), field lengths, and allowed characters. Ensure consistency in data representation to facilitate analysis and processing.</w:t>
      </w:r>
    </w:p>
    <w:p w14:paraId="436E5C9B" w14:textId="0F2DFF16" w:rsidR="00D73225" w:rsidRDefault="00D73225" w:rsidP="00A84A22">
      <w:pPr>
        <w:pStyle w:val="ListParagraph"/>
        <w:numPr>
          <w:ilvl w:val="0"/>
          <w:numId w:val="45"/>
        </w:numPr>
        <w:spacing w:before="100" w:beforeAutospacing="1" w:after="100" w:afterAutospacing="1"/>
      </w:pPr>
      <w:r>
        <w:t>Establish validation rules to enforce data integrity and accuracy during entry. Validate data against predefined criteria, such as range checks, format checks, and consistency checks, to prevent errors and inconsistencies.</w:t>
      </w:r>
    </w:p>
    <w:p w14:paraId="5F314093" w14:textId="72E9EB19" w:rsidR="00D73225" w:rsidRDefault="00D73225" w:rsidP="00A84A22">
      <w:pPr>
        <w:pStyle w:val="ListParagraph"/>
        <w:numPr>
          <w:ilvl w:val="0"/>
          <w:numId w:val="45"/>
        </w:numPr>
        <w:spacing w:before="100" w:beforeAutospacing="1" w:after="100" w:afterAutospacing="1"/>
      </w:pPr>
      <w:r>
        <w:t>Identify mandatory fields that must be completed during data entry to ensure completeness and consistency. Clearly indicate required fields and provide prompts or error messages for missing information.</w:t>
      </w:r>
    </w:p>
    <w:p w14:paraId="7EFECE96" w14:textId="0FA251F1" w:rsidR="00D73225" w:rsidRDefault="00D73225" w:rsidP="00A84A22">
      <w:pPr>
        <w:pStyle w:val="ListParagraph"/>
        <w:numPr>
          <w:ilvl w:val="0"/>
          <w:numId w:val="45"/>
        </w:numPr>
        <w:spacing w:before="100" w:beforeAutospacing="1" w:after="100" w:afterAutospacing="1"/>
      </w:pPr>
      <w:r>
        <w:t>Define standardized conventions for data entry, including capitalization, abbreviations, date formats, and punctuation. Consistent formatting enhances readability and ensures uniformity across datasets.</w:t>
      </w:r>
    </w:p>
    <w:p w14:paraId="42550283" w14:textId="3A5467E8" w:rsidR="00D73225" w:rsidRDefault="00D73225" w:rsidP="00A84A22">
      <w:pPr>
        <w:pStyle w:val="ListParagraph"/>
        <w:numPr>
          <w:ilvl w:val="0"/>
          <w:numId w:val="45"/>
        </w:numPr>
        <w:spacing w:before="100" w:beforeAutospacing="1" w:after="100" w:afterAutospacing="1"/>
      </w:pPr>
      <w:r>
        <w:t>Design user-friendly data entry interfaces with intuitive layouts, clear labels, and logical workflows. Minimize the need for manual entry wherever possible by incorporating dropdown menus, auto-population features, and data validation prompts.</w:t>
      </w:r>
    </w:p>
    <w:p w14:paraId="1F0B1BA0" w14:textId="1525B354" w:rsidR="00D73225" w:rsidRDefault="00D73225" w:rsidP="00A84A22">
      <w:pPr>
        <w:pStyle w:val="ListParagraph"/>
        <w:numPr>
          <w:ilvl w:val="0"/>
          <w:numId w:val="45"/>
        </w:numPr>
        <w:spacing w:before="100" w:beforeAutospacing="1" w:after="100" w:afterAutospacing="1"/>
      </w:pPr>
      <w:r>
        <w:t>Provide comprehensive training and education programs for data entry personnel to familiarize them with data entry standards, procedures, and tools. Offer ongoing support and resources to address questions, challenges, and updates.</w:t>
      </w:r>
    </w:p>
    <w:p w14:paraId="21EE448F" w14:textId="6A85AC8D" w:rsidR="00D73225" w:rsidRDefault="00D73225" w:rsidP="00A84A22">
      <w:pPr>
        <w:pStyle w:val="ListParagraph"/>
        <w:numPr>
          <w:ilvl w:val="0"/>
          <w:numId w:val="45"/>
        </w:numPr>
        <w:spacing w:before="100" w:beforeAutospacing="1" w:after="100" w:afterAutospacing="1"/>
      </w:pPr>
      <w:r>
        <w:t>Implement quality assurance procedures to review and validate entered data for accuracy, completeness, and consistency. Conduct regular audits, spot checks, and validation checks to identify and correct errors or discrepancies.</w:t>
      </w:r>
    </w:p>
    <w:p w14:paraId="507C9F16" w14:textId="6E9290F8" w:rsidR="00D73225" w:rsidRDefault="00D73225" w:rsidP="00A84A22">
      <w:pPr>
        <w:pStyle w:val="ListParagraph"/>
        <w:numPr>
          <w:ilvl w:val="0"/>
          <w:numId w:val="45"/>
        </w:numPr>
        <w:spacing w:before="100" w:beforeAutospacing="1" w:after="100" w:afterAutospacing="1"/>
      </w:pPr>
      <w:r>
        <w:t>Implement data entry controls to prevent unauthorized access, manipulation, or deletion of data. Enforce user authentication, access permissions, and logging mechanisms to track and monitor data entry activities.</w:t>
      </w:r>
    </w:p>
    <w:p w14:paraId="2BD7CD21" w14:textId="68606FCD" w:rsidR="00D73225" w:rsidRDefault="00D73225" w:rsidP="00A84A22">
      <w:pPr>
        <w:pStyle w:val="ListParagraph"/>
        <w:numPr>
          <w:ilvl w:val="0"/>
          <w:numId w:val="45"/>
        </w:numPr>
        <w:spacing w:before="100" w:beforeAutospacing="1" w:after="100" w:afterAutospacing="1"/>
      </w:pPr>
      <w:r>
        <w:t>Establish version control procedures to manage updates, revisions, and changes to data entry standards and processes. Maintain a centralized repository for documenting standards, guidelines, and revisions.</w:t>
      </w:r>
    </w:p>
    <w:p w14:paraId="41782546" w14:textId="66984C2E" w:rsidR="00D73225" w:rsidRDefault="00D73225" w:rsidP="00A84A22">
      <w:pPr>
        <w:pStyle w:val="ListParagraph"/>
        <w:numPr>
          <w:ilvl w:val="0"/>
          <w:numId w:val="45"/>
        </w:numPr>
        <w:spacing w:before="100" w:beforeAutospacing="1" w:after="100" w:afterAutospacing="1"/>
      </w:pPr>
      <w:r>
        <w:t xml:space="preserve">Document data entry standards, procedures, and guidelines in a comprehensive reference manual or handbook. Provide clear instructions, examples, and troubleshooting tips for data </w:t>
      </w:r>
      <w:r>
        <w:lastRenderedPageBreak/>
        <w:t>entry personnel. Generate reports and metrics to monitor data entry performance and compliance with standards.</w:t>
      </w:r>
    </w:p>
    <w:p w14:paraId="5F4BF8A7" w14:textId="4BE34F25" w:rsidR="00D73225" w:rsidRDefault="00D73225" w:rsidP="00A84A22">
      <w:pPr>
        <w:pStyle w:val="ListParagraph"/>
        <w:numPr>
          <w:ilvl w:val="0"/>
          <w:numId w:val="45"/>
        </w:numPr>
        <w:spacing w:before="100" w:beforeAutospacing="1" w:after="100" w:afterAutospacing="1"/>
      </w:pPr>
      <w:r>
        <w:t>Enforce compliance with data entry standards through regular monitoring, evaluation, and enforcement measures. Address non-compliance issues promptly and provide feedback, training, or disciplinary action as necessary.</w:t>
      </w:r>
    </w:p>
    <w:p w14:paraId="4E830E4E" w14:textId="2D232A52" w:rsidR="007968E8" w:rsidRDefault="007968E8" w:rsidP="00A84A22">
      <w:pPr>
        <w:pStyle w:val="Heading3"/>
        <w:spacing w:before="100" w:beforeAutospacing="1" w:after="100" w:afterAutospacing="1"/>
      </w:pPr>
      <w:r>
        <w:t>Data Quality Metrics</w:t>
      </w:r>
    </w:p>
    <w:p w14:paraId="0E2B54E2" w14:textId="12F5182F" w:rsidR="007968E8" w:rsidRDefault="007968E8" w:rsidP="00A84A22">
      <w:pPr>
        <w:spacing w:before="100" w:beforeAutospacing="1" w:after="100" w:afterAutospacing="1"/>
      </w:pPr>
      <w:r>
        <w:t>Measuring data quality is essential for ensuring that data is accurate, reliable, and fit for its intended purpose. Several metrics can be used to assess different aspects of data quality. Here are some of the best metrics for measuring data quality:</w:t>
      </w:r>
    </w:p>
    <w:p w14:paraId="2F64156E" w14:textId="680DE879" w:rsidR="007968E8" w:rsidRPr="00A84A22" w:rsidRDefault="007968E8" w:rsidP="0057159E">
      <w:pPr>
        <w:pStyle w:val="ListParagraph"/>
        <w:numPr>
          <w:ilvl w:val="0"/>
          <w:numId w:val="46"/>
        </w:numPr>
        <w:rPr>
          <w:b/>
          <w:bCs/>
          <w:u w:val="single"/>
        </w:rPr>
      </w:pPr>
      <w:r w:rsidRPr="00A84A22">
        <w:rPr>
          <w:b/>
          <w:bCs/>
          <w:u w:val="single"/>
        </w:rPr>
        <w:t>Completeness</w:t>
      </w:r>
    </w:p>
    <w:p w14:paraId="1036EE4D" w14:textId="77777777" w:rsidR="007968E8" w:rsidRDefault="007968E8" w:rsidP="0057159E">
      <w:pPr>
        <w:spacing w:after="160"/>
        <w:ind w:left="720"/>
      </w:pPr>
      <w:r w:rsidRPr="005043E4">
        <w:rPr>
          <w:b/>
          <w:bCs/>
        </w:rPr>
        <w:t>Completeness Ratio:</w:t>
      </w:r>
      <w:r>
        <w:t xml:space="preserve"> The ratio of complete records to total records in a dataset.</w:t>
      </w:r>
    </w:p>
    <w:p w14:paraId="219C0FD9" w14:textId="5EBC738B" w:rsidR="00791146" w:rsidRDefault="007968E8" w:rsidP="0057159E">
      <w:pPr>
        <w:spacing w:after="160"/>
        <w:ind w:left="720"/>
      </w:pPr>
      <w:r w:rsidRPr="005043E4">
        <w:rPr>
          <w:b/>
          <w:bCs/>
        </w:rPr>
        <w:t>Missing Values Percentage:</w:t>
      </w:r>
      <w:r>
        <w:t xml:space="preserve"> The percentage of missing values or fields in the dataset.</w:t>
      </w:r>
    </w:p>
    <w:p w14:paraId="64F6C9C9" w14:textId="7B18B7E4" w:rsidR="007968E8" w:rsidRPr="00A84A22" w:rsidRDefault="007968E8" w:rsidP="0057159E">
      <w:pPr>
        <w:pStyle w:val="ListParagraph"/>
        <w:numPr>
          <w:ilvl w:val="0"/>
          <w:numId w:val="46"/>
        </w:numPr>
        <w:rPr>
          <w:b/>
          <w:bCs/>
          <w:u w:val="single"/>
        </w:rPr>
      </w:pPr>
      <w:r w:rsidRPr="00A84A22">
        <w:rPr>
          <w:b/>
          <w:bCs/>
          <w:u w:val="single"/>
        </w:rPr>
        <w:t>Accuracy</w:t>
      </w:r>
    </w:p>
    <w:p w14:paraId="4DDBE364" w14:textId="77777777" w:rsidR="007968E8" w:rsidRDefault="007968E8" w:rsidP="0057159E">
      <w:pPr>
        <w:spacing w:after="160"/>
        <w:ind w:left="720"/>
      </w:pPr>
      <w:r w:rsidRPr="005043E4">
        <w:rPr>
          <w:b/>
          <w:bCs/>
        </w:rPr>
        <w:t>Error Rate:</w:t>
      </w:r>
      <w:r>
        <w:t xml:space="preserve"> The percentage of data records containing errors or inaccuracies.</w:t>
      </w:r>
    </w:p>
    <w:p w14:paraId="19314727" w14:textId="78521B1D" w:rsidR="006771A4" w:rsidRDefault="007968E8" w:rsidP="0057159E">
      <w:pPr>
        <w:spacing w:after="160"/>
        <w:ind w:left="720"/>
      </w:pPr>
      <w:r w:rsidRPr="005043E4">
        <w:rPr>
          <w:b/>
          <w:bCs/>
        </w:rPr>
        <w:t>Validation Rate:</w:t>
      </w:r>
      <w:r>
        <w:t xml:space="preserve"> The percentage of data records passing validation checks or rules.</w:t>
      </w:r>
    </w:p>
    <w:p w14:paraId="69EB6AE8" w14:textId="6DA2E198" w:rsidR="007968E8" w:rsidRPr="00A84A22" w:rsidRDefault="007968E8" w:rsidP="0057159E">
      <w:pPr>
        <w:pStyle w:val="ListParagraph"/>
        <w:numPr>
          <w:ilvl w:val="0"/>
          <w:numId w:val="46"/>
        </w:numPr>
        <w:rPr>
          <w:b/>
          <w:bCs/>
          <w:u w:val="single"/>
        </w:rPr>
      </w:pPr>
      <w:r w:rsidRPr="00A84A22">
        <w:rPr>
          <w:b/>
          <w:bCs/>
          <w:u w:val="single"/>
        </w:rPr>
        <w:t>Consistency</w:t>
      </w:r>
    </w:p>
    <w:p w14:paraId="1AA4EE88" w14:textId="77777777" w:rsidR="007968E8" w:rsidRDefault="007968E8" w:rsidP="0057159E">
      <w:pPr>
        <w:spacing w:after="160"/>
        <w:ind w:left="720"/>
      </w:pPr>
      <w:r w:rsidRPr="004679B0">
        <w:rPr>
          <w:b/>
          <w:bCs/>
        </w:rPr>
        <w:t>Consistency Index:</w:t>
      </w:r>
      <w:r>
        <w:t xml:space="preserve"> A measure of the consistency of data across different datasets or systems.</w:t>
      </w:r>
    </w:p>
    <w:p w14:paraId="73CDA828" w14:textId="0B4D9A8D" w:rsidR="004679B0" w:rsidRDefault="007968E8" w:rsidP="0057159E">
      <w:pPr>
        <w:spacing w:after="160"/>
        <w:ind w:left="720"/>
      </w:pPr>
      <w:r w:rsidRPr="004679B0">
        <w:rPr>
          <w:b/>
          <w:bCs/>
        </w:rPr>
        <w:t>Standard Deviation of Data Values:</w:t>
      </w:r>
      <w:r>
        <w:t xml:space="preserve"> The extent to which data values deviate from the mean or expected value.</w:t>
      </w:r>
    </w:p>
    <w:p w14:paraId="20687163" w14:textId="64E2D8C5" w:rsidR="007968E8" w:rsidRPr="00A84A22" w:rsidRDefault="007968E8" w:rsidP="0057159E">
      <w:pPr>
        <w:pStyle w:val="ListParagraph"/>
        <w:numPr>
          <w:ilvl w:val="0"/>
          <w:numId w:val="46"/>
        </w:numPr>
        <w:rPr>
          <w:b/>
          <w:bCs/>
          <w:u w:val="single"/>
        </w:rPr>
      </w:pPr>
      <w:r w:rsidRPr="00A84A22">
        <w:rPr>
          <w:b/>
          <w:bCs/>
          <w:u w:val="single"/>
        </w:rPr>
        <w:t>Timeliness</w:t>
      </w:r>
    </w:p>
    <w:p w14:paraId="6AB6729F" w14:textId="77777777" w:rsidR="007968E8" w:rsidRDefault="007968E8" w:rsidP="0057159E">
      <w:pPr>
        <w:spacing w:after="160"/>
        <w:ind w:left="720"/>
      </w:pPr>
      <w:r w:rsidRPr="004679B0">
        <w:rPr>
          <w:b/>
          <w:bCs/>
        </w:rPr>
        <w:t>Data Age:</w:t>
      </w:r>
      <w:r>
        <w:t xml:space="preserve"> The time elapsed between data collection or entry and its availability for analysis or decision-making.</w:t>
      </w:r>
    </w:p>
    <w:p w14:paraId="6DA427F7" w14:textId="7F849264" w:rsidR="004679B0" w:rsidRDefault="007968E8" w:rsidP="0057159E">
      <w:pPr>
        <w:spacing w:after="160"/>
        <w:ind w:left="720"/>
      </w:pPr>
      <w:r w:rsidRPr="004679B0">
        <w:rPr>
          <w:b/>
          <w:bCs/>
        </w:rPr>
        <w:t>Data Refresh Rate:</w:t>
      </w:r>
      <w:r>
        <w:t xml:space="preserve"> The frequency at which data is updated or refreshed to reflect changes in the underlying sources.</w:t>
      </w:r>
    </w:p>
    <w:p w14:paraId="749C48F3" w14:textId="1CB570DE" w:rsidR="007968E8" w:rsidRPr="00A84A22" w:rsidRDefault="007968E8" w:rsidP="0057159E">
      <w:pPr>
        <w:pStyle w:val="ListParagraph"/>
        <w:numPr>
          <w:ilvl w:val="0"/>
          <w:numId w:val="46"/>
        </w:numPr>
        <w:rPr>
          <w:b/>
          <w:bCs/>
          <w:u w:val="single"/>
        </w:rPr>
      </w:pPr>
      <w:r w:rsidRPr="00A84A22">
        <w:rPr>
          <w:b/>
          <w:bCs/>
          <w:u w:val="single"/>
        </w:rPr>
        <w:t>Validity</w:t>
      </w:r>
    </w:p>
    <w:p w14:paraId="2D4929E2" w14:textId="77777777" w:rsidR="00E759E9" w:rsidRDefault="007968E8" w:rsidP="0057159E">
      <w:pPr>
        <w:spacing w:after="160"/>
        <w:ind w:left="720"/>
      </w:pPr>
      <w:r w:rsidRPr="004679B0">
        <w:rPr>
          <w:b/>
          <w:bCs/>
        </w:rPr>
        <w:t>Validity Rate:</w:t>
      </w:r>
      <w:r>
        <w:t xml:space="preserve"> The percentage of data records conforming to predefined standards, formats, or rules.</w:t>
      </w:r>
    </w:p>
    <w:p w14:paraId="0269344E" w14:textId="5030336E" w:rsidR="004679B0" w:rsidRDefault="007968E8" w:rsidP="0057159E">
      <w:pPr>
        <w:spacing w:after="160"/>
        <w:ind w:left="720"/>
      </w:pPr>
      <w:r w:rsidRPr="004679B0">
        <w:rPr>
          <w:b/>
          <w:bCs/>
        </w:rPr>
        <w:t>Data Integrity Violations:</w:t>
      </w:r>
      <w:r>
        <w:t xml:space="preserve"> The number or frequency of violations of data integrity constraints or rules.</w:t>
      </w:r>
    </w:p>
    <w:p w14:paraId="1B97748D" w14:textId="2209976B" w:rsidR="007968E8" w:rsidRPr="00A84A22" w:rsidRDefault="007968E8" w:rsidP="0057159E">
      <w:pPr>
        <w:pStyle w:val="ListParagraph"/>
        <w:numPr>
          <w:ilvl w:val="0"/>
          <w:numId w:val="46"/>
        </w:numPr>
        <w:rPr>
          <w:b/>
          <w:bCs/>
          <w:u w:val="single"/>
        </w:rPr>
      </w:pPr>
      <w:r w:rsidRPr="00A84A22">
        <w:rPr>
          <w:b/>
          <w:bCs/>
          <w:u w:val="single"/>
        </w:rPr>
        <w:t>Uniqueness</w:t>
      </w:r>
    </w:p>
    <w:p w14:paraId="02AE5A3F" w14:textId="77777777" w:rsidR="007968E8" w:rsidRDefault="007968E8" w:rsidP="0057159E">
      <w:pPr>
        <w:spacing w:after="160"/>
        <w:ind w:left="720"/>
      </w:pPr>
      <w:r w:rsidRPr="004679B0">
        <w:rPr>
          <w:b/>
          <w:bCs/>
        </w:rPr>
        <w:t>Duplicate Records Percentage:</w:t>
      </w:r>
      <w:r>
        <w:t xml:space="preserve"> The percentage of records that are duplicates or redundant within the dataset.</w:t>
      </w:r>
    </w:p>
    <w:p w14:paraId="75C8D456" w14:textId="77777777" w:rsidR="007968E8" w:rsidRDefault="007968E8" w:rsidP="0057159E">
      <w:pPr>
        <w:spacing w:after="160"/>
        <w:ind w:left="720"/>
      </w:pPr>
      <w:r w:rsidRPr="004679B0">
        <w:rPr>
          <w:b/>
          <w:bCs/>
        </w:rPr>
        <w:lastRenderedPageBreak/>
        <w:t>Distinct Values Count:</w:t>
      </w:r>
      <w:r>
        <w:t xml:space="preserve"> The count of unique values within specific data fields or attributes.</w:t>
      </w:r>
    </w:p>
    <w:p w14:paraId="692181A8" w14:textId="098EBB7D" w:rsidR="00722FF3" w:rsidRPr="00267A97" w:rsidRDefault="00692E43" w:rsidP="008B0AAE">
      <w:pPr>
        <w:pStyle w:val="Heading3"/>
        <w:spacing w:before="100" w:beforeAutospacing="1" w:after="100" w:afterAutospacing="1"/>
      </w:pPr>
      <w:r>
        <w:t>Standard</w:t>
      </w:r>
      <w:r w:rsidR="00722FF3" w:rsidRPr="00267A97">
        <w:t xml:space="preserve"> Review</w:t>
      </w:r>
    </w:p>
    <w:p w14:paraId="6CE727CB" w14:textId="7C665386" w:rsidR="00722FF3" w:rsidRPr="00722FF3" w:rsidRDefault="00722FF3" w:rsidP="00A84A22">
      <w:pPr>
        <w:spacing w:before="100" w:beforeAutospacing="1" w:after="100" w:afterAutospacing="1"/>
      </w:pPr>
      <w:r w:rsidRPr="00722FF3">
        <w:t>This Policy will be reviewed and updated every three (3) years from the approval date, or more frequently if appropriate. Any staff members who wish to make any comments about the Policy may forward their suggestions to the Director of Data Governance, ODGA.</w:t>
      </w:r>
    </w:p>
    <w:p w14:paraId="3F9C12F8" w14:textId="425D3D37" w:rsidR="00CA3C46" w:rsidRPr="001D4637" w:rsidRDefault="00CA3C46" w:rsidP="00A84A22">
      <w:pPr>
        <w:pStyle w:val="Heading3"/>
        <w:spacing w:before="100" w:beforeAutospacing="1" w:after="100" w:afterAutospacing="1"/>
      </w:pPr>
      <w:r w:rsidRPr="001D4637">
        <w:t>Related Policies</w:t>
      </w:r>
    </w:p>
    <w:tbl>
      <w:tblPr>
        <w:tblpPr w:leftFromText="180" w:rightFromText="180" w:vertAnchor="text" w:horzAnchor="margin" w:tblpXSpec="center" w:tblpY="61"/>
        <w:tblW w:w="6480" w:type="dxa"/>
        <w:tblLayout w:type="fixed"/>
        <w:tblCellMar>
          <w:left w:w="0" w:type="dxa"/>
          <w:right w:w="0" w:type="dxa"/>
        </w:tblCellMar>
        <w:tblLook w:val="0000" w:firstRow="0" w:lastRow="0" w:firstColumn="0" w:lastColumn="0" w:noHBand="0" w:noVBand="0"/>
      </w:tblPr>
      <w:tblGrid>
        <w:gridCol w:w="6480"/>
      </w:tblGrid>
      <w:tr w:rsidR="001D4637" w:rsidRPr="001D4637" w14:paraId="029070C4" w14:textId="77777777" w:rsidTr="00630458">
        <w:trPr>
          <w:trHeight w:hRule="exact" w:val="287"/>
        </w:trPr>
        <w:tc>
          <w:tcPr>
            <w:tcW w:w="6480" w:type="dxa"/>
            <w:tcBorders>
              <w:top w:val="single" w:sz="4" w:space="0" w:color="000000"/>
              <w:left w:val="single" w:sz="4" w:space="0" w:color="000000"/>
              <w:bottom w:val="single" w:sz="4" w:space="0" w:color="000000"/>
              <w:right w:val="single" w:sz="4" w:space="0" w:color="000000"/>
            </w:tcBorders>
            <w:shd w:val="clear" w:color="auto" w:fill="C1D9CB" w:themeFill="accent5"/>
          </w:tcPr>
          <w:p w14:paraId="61909426" w14:textId="77777777" w:rsidR="00CA3C46" w:rsidRPr="001D4637" w:rsidRDefault="00CA3C46" w:rsidP="00A84A22">
            <w:pPr>
              <w:spacing w:before="100" w:beforeAutospacing="1" w:after="100" w:afterAutospacing="1"/>
              <w:rPr>
                <w:b/>
                <w:lang w:eastAsia="ja-JP"/>
              </w:rPr>
            </w:pPr>
            <w:r w:rsidRPr="001D4637">
              <w:rPr>
                <w:b/>
                <w:w w:val="108"/>
                <w:lang w:eastAsia="ja-JP"/>
              </w:rPr>
              <w:t>ODGA Policies, Standards and Procedures</w:t>
            </w:r>
          </w:p>
        </w:tc>
      </w:tr>
      <w:tr w:rsidR="00DA1822" w:rsidRPr="001D4637" w14:paraId="6E9DBA19" w14:textId="77777777" w:rsidTr="00630458">
        <w:trPr>
          <w:trHeight w:hRule="exact" w:val="355"/>
        </w:trPr>
        <w:tc>
          <w:tcPr>
            <w:tcW w:w="6480" w:type="dxa"/>
            <w:tcBorders>
              <w:top w:val="single" w:sz="4" w:space="0" w:color="000000"/>
              <w:left w:val="single" w:sz="4" w:space="0" w:color="000000"/>
              <w:bottom w:val="single" w:sz="4" w:space="0" w:color="000000"/>
              <w:right w:val="single" w:sz="4" w:space="0" w:color="000000"/>
            </w:tcBorders>
          </w:tcPr>
          <w:p w14:paraId="7A42C573" w14:textId="649F2E92" w:rsidR="00DA1822" w:rsidRPr="001D4637" w:rsidRDefault="00DA1822" w:rsidP="00A84A22">
            <w:pPr>
              <w:spacing w:before="100" w:beforeAutospacing="1" w:after="100" w:afterAutospacing="1"/>
              <w:rPr>
                <w:spacing w:val="1"/>
                <w:lang w:eastAsia="ja-JP"/>
              </w:rPr>
            </w:pPr>
            <w:r>
              <w:rPr>
                <w:spacing w:val="1"/>
                <w:lang w:eastAsia="ja-JP"/>
              </w:rPr>
              <w:t>Data Governance Policy</w:t>
            </w:r>
          </w:p>
        </w:tc>
      </w:tr>
      <w:tr w:rsidR="00DA1822" w:rsidRPr="001D4637" w14:paraId="7C7708DF" w14:textId="77777777" w:rsidTr="00630458">
        <w:trPr>
          <w:trHeight w:hRule="exact" w:val="355"/>
        </w:trPr>
        <w:tc>
          <w:tcPr>
            <w:tcW w:w="6480" w:type="dxa"/>
            <w:tcBorders>
              <w:top w:val="single" w:sz="4" w:space="0" w:color="000000"/>
              <w:left w:val="single" w:sz="4" w:space="0" w:color="000000"/>
              <w:bottom w:val="single" w:sz="4" w:space="0" w:color="000000"/>
              <w:right w:val="single" w:sz="4" w:space="0" w:color="000000"/>
            </w:tcBorders>
          </w:tcPr>
          <w:p w14:paraId="33F94273" w14:textId="7B3E8105" w:rsidR="00DA1822" w:rsidRPr="001D4637" w:rsidRDefault="00DA1822" w:rsidP="00A84A22">
            <w:pPr>
              <w:spacing w:before="100" w:beforeAutospacing="1" w:after="100" w:afterAutospacing="1"/>
              <w:rPr>
                <w:lang w:eastAsia="ja-JP"/>
              </w:rPr>
            </w:pPr>
            <w:r>
              <w:rPr>
                <w:lang w:eastAsia="ja-JP"/>
              </w:rPr>
              <w:t>Data Protection Policy</w:t>
            </w:r>
          </w:p>
        </w:tc>
      </w:tr>
    </w:tbl>
    <w:p w14:paraId="6719C783" w14:textId="77777777" w:rsidR="00CA3C46" w:rsidRPr="001D4637" w:rsidRDefault="00CA3C46" w:rsidP="00A84A22">
      <w:pPr>
        <w:spacing w:before="100" w:beforeAutospacing="1" w:after="100" w:afterAutospacing="1"/>
      </w:pPr>
    </w:p>
    <w:p w14:paraId="45B4736B" w14:textId="77777777" w:rsidR="007F137F" w:rsidRPr="001D4637" w:rsidRDefault="007F137F" w:rsidP="00A84A22">
      <w:pPr>
        <w:spacing w:before="100" w:beforeAutospacing="1" w:after="100" w:afterAutospacing="1"/>
      </w:pPr>
    </w:p>
    <w:p w14:paraId="10F093DD" w14:textId="5E046E8A" w:rsidR="00CA3C46" w:rsidRPr="001D4637" w:rsidRDefault="00CA3C46" w:rsidP="00A84A22">
      <w:pPr>
        <w:spacing w:before="100" w:beforeAutospacing="1" w:after="100" w:afterAutospacing="1"/>
      </w:pPr>
      <w:r w:rsidRPr="001D4637">
        <w:t xml:space="preserve">The Office of Data Governance and Analytics adheres to all Commonwealth Information Technology Resource Management (ITRM) policies and standards for security and architecture </w:t>
      </w:r>
      <w:hyperlink r:id="rId11" w:history="1">
        <w:r w:rsidRPr="001D4637">
          <w:rPr>
            <w:u w:val="single"/>
          </w:rPr>
          <w:t>Policies, Standards &amp; Guidelines | Virginia IT Agency</w:t>
        </w:r>
      </w:hyperlink>
      <w:r w:rsidRPr="001D4637">
        <w:t xml:space="preserve">. </w:t>
      </w:r>
    </w:p>
    <w:tbl>
      <w:tblPr>
        <w:tblpPr w:leftFromText="180" w:rightFromText="180" w:vertAnchor="text" w:horzAnchor="margin" w:tblpXSpec="center" w:tblpY="11"/>
        <w:tblW w:w="6480" w:type="dxa"/>
        <w:tblLayout w:type="fixed"/>
        <w:tblCellMar>
          <w:left w:w="0" w:type="dxa"/>
          <w:right w:w="0" w:type="dxa"/>
        </w:tblCellMar>
        <w:tblLook w:val="0000" w:firstRow="0" w:lastRow="0" w:firstColumn="0" w:lastColumn="0" w:noHBand="0" w:noVBand="0"/>
      </w:tblPr>
      <w:tblGrid>
        <w:gridCol w:w="25"/>
        <w:gridCol w:w="6455"/>
      </w:tblGrid>
      <w:tr w:rsidR="00A84A22" w:rsidRPr="001D4637" w14:paraId="7A112571" w14:textId="77777777" w:rsidTr="00A84A22">
        <w:trPr>
          <w:trHeight w:hRule="exact" w:val="287"/>
        </w:trPr>
        <w:tc>
          <w:tcPr>
            <w:tcW w:w="25" w:type="dxa"/>
            <w:vMerge w:val="restart"/>
            <w:tcBorders>
              <w:top w:val="nil"/>
              <w:left w:val="nil"/>
              <w:bottom w:val="single" w:sz="4" w:space="0" w:color="000000"/>
              <w:right w:val="single" w:sz="4" w:space="0" w:color="000000"/>
            </w:tcBorders>
          </w:tcPr>
          <w:p w14:paraId="66C9C40A" w14:textId="77777777" w:rsidR="00A84A22" w:rsidRPr="001D4637" w:rsidRDefault="00A84A22" w:rsidP="00A84A22">
            <w:pPr>
              <w:spacing w:before="100" w:beforeAutospacing="1" w:after="100" w:afterAutospacing="1"/>
              <w:rPr>
                <w:lang w:eastAsia="ja-JP"/>
              </w:rPr>
            </w:pPr>
          </w:p>
        </w:tc>
        <w:tc>
          <w:tcPr>
            <w:tcW w:w="6455" w:type="dxa"/>
            <w:tcBorders>
              <w:top w:val="single" w:sz="4" w:space="0" w:color="000000"/>
              <w:left w:val="single" w:sz="4" w:space="0" w:color="000000"/>
              <w:bottom w:val="single" w:sz="4" w:space="0" w:color="000000"/>
              <w:right w:val="single" w:sz="4" w:space="0" w:color="000000"/>
            </w:tcBorders>
            <w:shd w:val="clear" w:color="auto" w:fill="C1D9CB" w:themeFill="accent5"/>
          </w:tcPr>
          <w:p w14:paraId="6572A42C" w14:textId="77777777" w:rsidR="00A84A22" w:rsidRPr="001D4637" w:rsidRDefault="00A84A22" w:rsidP="00A84A22">
            <w:pPr>
              <w:spacing w:before="100" w:beforeAutospacing="1" w:after="100" w:afterAutospacing="1"/>
              <w:rPr>
                <w:b/>
                <w:lang w:eastAsia="ja-JP"/>
              </w:rPr>
            </w:pPr>
            <w:r w:rsidRPr="001D4637">
              <w:rPr>
                <w:b/>
                <w:w w:val="108"/>
                <w:lang w:eastAsia="ja-JP"/>
              </w:rPr>
              <w:t>VITA Related Policies</w:t>
            </w:r>
          </w:p>
        </w:tc>
      </w:tr>
      <w:tr w:rsidR="00A84A22" w:rsidRPr="001D4637" w14:paraId="25C4665E" w14:textId="77777777" w:rsidTr="00A84A22">
        <w:trPr>
          <w:trHeight w:hRule="exact" w:val="355"/>
        </w:trPr>
        <w:tc>
          <w:tcPr>
            <w:tcW w:w="25" w:type="dxa"/>
            <w:vMerge/>
            <w:tcBorders>
              <w:top w:val="nil"/>
              <w:left w:val="nil"/>
              <w:bottom w:val="single" w:sz="4" w:space="0" w:color="000000"/>
              <w:right w:val="single" w:sz="4" w:space="0" w:color="000000"/>
            </w:tcBorders>
          </w:tcPr>
          <w:p w14:paraId="7ED64ABF" w14:textId="77777777" w:rsidR="00A84A22" w:rsidRPr="001D4637" w:rsidRDefault="00A84A22" w:rsidP="00A84A22">
            <w:pPr>
              <w:spacing w:before="100" w:beforeAutospacing="1" w:after="100" w:afterAutospacing="1"/>
              <w:rPr>
                <w:lang w:eastAsia="ja-JP"/>
              </w:rPr>
            </w:pPr>
          </w:p>
        </w:tc>
        <w:tc>
          <w:tcPr>
            <w:tcW w:w="6455" w:type="dxa"/>
            <w:tcBorders>
              <w:top w:val="single" w:sz="4" w:space="0" w:color="000000"/>
              <w:left w:val="single" w:sz="4" w:space="0" w:color="000000"/>
              <w:bottom w:val="single" w:sz="4" w:space="0" w:color="000000"/>
              <w:right w:val="single" w:sz="4" w:space="0" w:color="000000"/>
            </w:tcBorders>
          </w:tcPr>
          <w:p w14:paraId="7DFE7466" w14:textId="77777777" w:rsidR="00A84A22" w:rsidRPr="001D4637" w:rsidRDefault="00A84A22" w:rsidP="00A84A22">
            <w:pPr>
              <w:spacing w:before="100" w:beforeAutospacing="1" w:after="100" w:afterAutospacing="1"/>
              <w:rPr>
                <w:spacing w:val="1"/>
                <w:lang w:eastAsia="ja-JP"/>
              </w:rPr>
            </w:pPr>
            <w:r>
              <w:rPr>
                <w:spacing w:val="1"/>
                <w:lang w:eastAsia="ja-JP"/>
              </w:rPr>
              <w:t>Enterprise Architecture Information Architecture EA-225</w:t>
            </w:r>
          </w:p>
        </w:tc>
      </w:tr>
      <w:tr w:rsidR="00A84A22" w:rsidRPr="001D4637" w14:paraId="6C9E8546" w14:textId="77777777" w:rsidTr="00A84A22">
        <w:trPr>
          <w:trHeight w:hRule="exact" w:val="355"/>
        </w:trPr>
        <w:tc>
          <w:tcPr>
            <w:tcW w:w="25" w:type="dxa"/>
            <w:vMerge/>
            <w:tcBorders>
              <w:top w:val="nil"/>
              <w:left w:val="nil"/>
              <w:bottom w:val="single" w:sz="4" w:space="0" w:color="000000"/>
              <w:right w:val="single" w:sz="4" w:space="0" w:color="000000"/>
            </w:tcBorders>
          </w:tcPr>
          <w:p w14:paraId="7A97DA9E" w14:textId="77777777" w:rsidR="00A84A22" w:rsidRPr="001D4637" w:rsidRDefault="00A84A22" w:rsidP="00A84A22">
            <w:pPr>
              <w:spacing w:before="100" w:beforeAutospacing="1" w:after="100" w:afterAutospacing="1"/>
              <w:rPr>
                <w:lang w:eastAsia="ja-JP"/>
              </w:rPr>
            </w:pPr>
          </w:p>
        </w:tc>
        <w:tc>
          <w:tcPr>
            <w:tcW w:w="6455" w:type="dxa"/>
            <w:tcBorders>
              <w:top w:val="single" w:sz="4" w:space="0" w:color="000000"/>
              <w:left w:val="single" w:sz="4" w:space="0" w:color="000000"/>
              <w:bottom w:val="single" w:sz="4" w:space="0" w:color="000000"/>
              <w:right w:val="single" w:sz="4" w:space="0" w:color="000000"/>
            </w:tcBorders>
          </w:tcPr>
          <w:p w14:paraId="2EAAE1A0" w14:textId="77777777" w:rsidR="00A84A22" w:rsidRPr="001D4637" w:rsidRDefault="00A84A22" w:rsidP="00A84A22">
            <w:pPr>
              <w:spacing w:before="100" w:beforeAutospacing="1" w:after="100" w:afterAutospacing="1"/>
              <w:rPr>
                <w:spacing w:val="1"/>
                <w:lang w:eastAsia="ja-JP"/>
              </w:rPr>
            </w:pPr>
            <w:r w:rsidRPr="001D4637">
              <w:rPr>
                <w:spacing w:val="1"/>
                <w:lang w:eastAsia="ja-JP"/>
              </w:rPr>
              <w:t>IT Information Security Policy - SEC519</w:t>
            </w:r>
          </w:p>
        </w:tc>
      </w:tr>
      <w:tr w:rsidR="00A84A22" w:rsidRPr="001D4637" w14:paraId="63A0E888" w14:textId="77777777" w:rsidTr="00A84A22">
        <w:trPr>
          <w:trHeight w:hRule="exact" w:val="355"/>
        </w:trPr>
        <w:tc>
          <w:tcPr>
            <w:tcW w:w="25" w:type="dxa"/>
            <w:vMerge/>
            <w:tcBorders>
              <w:top w:val="nil"/>
              <w:left w:val="nil"/>
              <w:bottom w:val="single" w:sz="4" w:space="0" w:color="000000"/>
              <w:right w:val="single" w:sz="4" w:space="0" w:color="000000"/>
            </w:tcBorders>
          </w:tcPr>
          <w:p w14:paraId="186BB994" w14:textId="77777777" w:rsidR="00A84A22" w:rsidRPr="001D4637" w:rsidRDefault="00A84A22" w:rsidP="00A84A22">
            <w:pPr>
              <w:spacing w:before="100" w:beforeAutospacing="1" w:after="100" w:afterAutospacing="1"/>
              <w:rPr>
                <w:lang w:eastAsia="ja-JP"/>
              </w:rPr>
            </w:pPr>
          </w:p>
        </w:tc>
        <w:tc>
          <w:tcPr>
            <w:tcW w:w="6455" w:type="dxa"/>
            <w:tcBorders>
              <w:top w:val="single" w:sz="4" w:space="0" w:color="000000"/>
              <w:left w:val="single" w:sz="4" w:space="0" w:color="000000"/>
              <w:bottom w:val="single" w:sz="4" w:space="0" w:color="000000"/>
              <w:right w:val="single" w:sz="4" w:space="0" w:color="000000"/>
            </w:tcBorders>
          </w:tcPr>
          <w:p w14:paraId="77BB3303" w14:textId="77777777" w:rsidR="00A84A22" w:rsidRPr="001D4637" w:rsidRDefault="00A84A22" w:rsidP="00A84A22">
            <w:pPr>
              <w:spacing w:before="100" w:beforeAutospacing="1" w:after="100" w:afterAutospacing="1"/>
              <w:rPr>
                <w:lang w:eastAsia="ja-JP"/>
              </w:rPr>
            </w:pPr>
            <w:r w:rsidRPr="001D4637">
              <w:rPr>
                <w:spacing w:val="1"/>
                <w:lang w:eastAsia="ja-JP"/>
              </w:rPr>
              <w:t>Information Security Standard (SEC501)</w:t>
            </w:r>
          </w:p>
        </w:tc>
      </w:tr>
      <w:tr w:rsidR="00A84A22" w:rsidRPr="001D4637" w14:paraId="2A944ACB" w14:textId="77777777" w:rsidTr="00A84A22">
        <w:trPr>
          <w:trHeight w:hRule="exact" w:val="362"/>
        </w:trPr>
        <w:tc>
          <w:tcPr>
            <w:tcW w:w="25" w:type="dxa"/>
            <w:vMerge/>
            <w:tcBorders>
              <w:top w:val="nil"/>
              <w:left w:val="nil"/>
              <w:bottom w:val="single" w:sz="4" w:space="0" w:color="000000"/>
              <w:right w:val="single" w:sz="4" w:space="0" w:color="000000"/>
            </w:tcBorders>
          </w:tcPr>
          <w:p w14:paraId="2F059FB8" w14:textId="77777777" w:rsidR="00A84A22" w:rsidRPr="001D4637" w:rsidRDefault="00A84A22" w:rsidP="00A84A22">
            <w:pPr>
              <w:spacing w:before="100" w:beforeAutospacing="1" w:after="100" w:afterAutospacing="1"/>
              <w:rPr>
                <w:lang w:eastAsia="ja-JP"/>
              </w:rPr>
            </w:pPr>
          </w:p>
        </w:tc>
        <w:tc>
          <w:tcPr>
            <w:tcW w:w="6455" w:type="dxa"/>
            <w:tcBorders>
              <w:top w:val="single" w:sz="4" w:space="0" w:color="000000"/>
              <w:left w:val="single" w:sz="4" w:space="0" w:color="000000"/>
              <w:bottom w:val="single" w:sz="4" w:space="0" w:color="000000"/>
              <w:right w:val="single" w:sz="4" w:space="0" w:color="000000"/>
            </w:tcBorders>
          </w:tcPr>
          <w:p w14:paraId="05CD286B" w14:textId="77777777" w:rsidR="00A84A22" w:rsidRPr="001D4637" w:rsidRDefault="00A84A22" w:rsidP="00A84A22">
            <w:pPr>
              <w:spacing w:before="100" w:beforeAutospacing="1" w:after="100" w:afterAutospacing="1"/>
              <w:rPr>
                <w:lang w:eastAsia="ja-JP"/>
              </w:rPr>
            </w:pPr>
            <w:r w:rsidRPr="001D4637">
              <w:rPr>
                <w:lang w:eastAsia="ja-JP"/>
              </w:rPr>
              <w:t>IT Risk Management Standard (SEC520)</w:t>
            </w:r>
          </w:p>
        </w:tc>
      </w:tr>
    </w:tbl>
    <w:p w14:paraId="78653742" w14:textId="77777777" w:rsidR="00CA3C46" w:rsidRPr="001D4637" w:rsidRDefault="00CA3C46" w:rsidP="00A84A22">
      <w:pPr>
        <w:spacing w:before="100" w:beforeAutospacing="1" w:after="100" w:afterAutospacing="1"/>
      </w:pPr>
      <w:r w:rsidRPr="001D4637">
        <w:t xml:space="preserve"> </w:t>
      </w:r>
    </w:p>
    <w:p w14:paraId="21F46E6A" w14:textId="77777777" w:rsidR="00CA3C46" w:rsidRPr="001D4637" w:rsidRDefault="00CA3C46" w:rsidP="00A84A22">
      <w:pPr>
        <w:spacing w:before="100" w:beforeAutospacing="1" w:after="100" w:afterAutospacing="1"/>
        <w:rPr>
          <w:sz w:val="20"/>
          <w:szCs w:val="20"/>
        </w:rPr>
      </w:pPr>
    </w:p>
    <w:p w14:paraId="393CA9A8" w14:textId="77777777" w:rsidR="00CA3C46" w:rsidRPr="001D4637" w:rsidRDefault="00CA3C46" w:rsidP="00A84A22">
      <w:pPr>
        <w:spacing w:before="100" w:beforeAutospacing="1" w:after="100" w:afterAutospacing="1"/>
      </w:pPr>
    </w:p>
    <w:p w14:paraId="0C78E7D2" w14:textId="585F3986" w:rsidR="00CA3C46" w:rsidRPr="001D4637" w:rsidRDefault="00CA3C46" w:rsidP="00A84A22">
      <w:pPr>
        <w:pStyle w:val="Heading2"/>
        <w:spacing w:before="100" w:beforeAutospacing="1" w:after="100" w:afterAutospacing="1"/>
      </w:pPr>
      <w:r w:rsidRPr="001D4637">
        <w:t>Version History</w:t>
      </w:r>
    </w:p>
    <w:tbl>
      <w:tblPr>
        <w:tblStyle w:val="TableGrid"/>
        <w:tblW w:w="0" w:type="auto"/>
        <w:tblLook w:val="04A0" w:firstRow="1" w:lastRow="0" w:firstColumn="1" w:lastColumn="0" w:noHBand="0" w:noVBand="1"/>
      </w:tblPr>
      <w:tblGrid>
        <w:gridCol w:w="1795"/>
        <w:gridCol w:w="1620"/>
        <w:gridCol w:w="3597"/>
        <w:gridCol w:w="2338"/>
      </w:tblGrid>
      <w:tr w:rsidR="001D4637" w:rsidRPr="00E759E9" w14:paraId="618DC5B8" w14:textId="77777777" w:rsidTr="0099699E">
        <w:tc>
          <w:tcPr>
            <w:tcW w:w="1795" w:type="dxa"/>
            <w:shd w:val="clear" w:color="auto" w:fill="024F75" w:themeFill="accent1"/>
          </w:tcPr>
          <w:p w14:paraId="1562218F" w14:textId="77777777" w:rsidR="00CA3C46" w:rsidRPr="00E759E9" w:rsidRDefault="00CA3C46" w:rsidP="00A84A22">
            <w:pPr>
              <w:spacing w:before="100" w:beforeAutospacing="1" w:after="100" w:afterAutospacing="1"/>
              <w:rPr>
                <w:b/>
                <w:bCs/>
                <w:color w:val="DDDBF3" w:themeColor="text1" w:themeTint="1A"/>
                <w:szCs w:val="24"/>
              </w:rPr>
            </w:pPr>
            <w:r w:rsidRPr="00E759E9">
              <w:rPr>
                <w:b/>
                <w:bCs/>
                <w:color w:val="DDDBF3" w:themeColor="text1" w:themeTint="1A"/>
                <w:szCs w:val="24"/>
              </w:rPr>
              <w:t>Version Number</w:t>
            </w:r>
          </w:p>
        </w:tc>
        <w:tc>
          <w:tcPr>
            <w:tcW w:w="1620" w:type="dxa"/>
            <w:shd w:val="clear" w:color="auto" w:fill="024F75" w:themeFill="accent1"/>
          </w:tcPr>
          <w:p w14:paraId="70AE1C40" w14:textId="77777777" w:rsidR="00CA3C46" w:rsidRPr="00E759E9" w:rsidRDefault="00CA3C46" w:rsidP="00A84A22">
            <w:pPr>
              <w:spacing w:before="100" w:beforeAutospacing="1" w:after="100" w:afterAutospacing="1"/>
              <w:rPr>
                <w:b/>
                <w:bCs/>
                <w:color w:val="DDDBF3" w:themeColor="text1" w:themeTint="1A"/>
                <w:szCs w:val="24"/>
              </w:rPr>
            </w:pPr>
            <w:r w:rsidRPr="00E759E9">
              <w:rPr>
                <w:b/>
                <w:bCs/>
                <w:color w:val="DDDBF3" w:themeColor="text1" w:themeTint="1A"/>
                <w:szCs w:val="24"/>
              </w:rPr>
              <w:t>Revision Date</w:t>
            </w:r>
          </w:p>
        </w:tc>
        <w:tc>
          <w:tcPr>
            <w:tcW w:w="3597" w:type="dxa"/>
            <w:shd w:val="clear" w:color="auto" w:fill="024F75" w:themeFill="accent1"/>
          </w:tcPr>
          <w:p w14:paraId="627EB105" w14:textId="77777777" w:rsidR="00CA3C46" w:rsidRPr="00E759E9" w:rsidRDefault="00CA3C46" w:rsidP="00A84A22">
            <w:pPr>
              <w:spacing w:before="100" w:beforeAutospacing="1" w:after="100" w:afterAutospacing="1"/>
              <w:rPr>
                <w:b/>
                <w:bCs/>
                <w:color w:val="DDDBF3" w:themeColor="text1" w:themeTint="1A"/>
                <w:szCs w:val="24"/>
              </w:rPr>
            </w:pPr>
            <w:r w:rsidRPr="00E759E9">
              <w:rPr>
                <w:b/>
                <w:bCs/>
                <w:color w:val="DDDBF3" w:themeColor="text1" w:themeTint="1A"/>
                <w:szCs w:val="24"/>
              </w:rPr>
              <w:t>Description of Change</w:t>
            </w:r>
          </w:p>
        </w:tc>
        <w:tc>
          <w:tcPr>
            <w:tcW w:w="2338" w:type="dxa"/>
            <w:shd w:val="clear" w:color="auto" w:fill="024F75" w:themeFill="accent1"/>
          </w:tcPr>
          <w:p w14:paraId="3159EAB4" w14:textId="77777777" w:rsidR="00CA3C46" w:rsidRPr="00E759E9" w:rsidRDefault="00CA3C46" w:rsidP="00A84A22">
            <w:pPr>
              <w:spacing w:before="100" w:beforeAutospacing="1" w:after="100" w:afterAutospacing="1"/>
              <w:rPr>
                <w:b/>
                <w:bCs/>
                <w:color w:val="DDDBF3" w:themeColor="text1" w:themeTint="1A"/>
                <w:szCs w:val="24"/>
              </w:rPr>
            </w:pPr>
            <w:r w:rsidRPr="00E759E9">
              <w:rPr>
                <w:b/>
                <w:bCs/>
                <w:color w:val="DDDBF3" w:themeColor="text1" w:themeTint="1A"/>
                <w:szCs w:val="24"/>
              </w:rPr>
              <w:t>Author</w:t>
            </w:r>
          </w:p>
        </w:tc>
      </w:tr>
      <w:tr w:rsidR="001D4637" w:rsidRPr="00E759E9" w14:paraId="34AB96FE" w14:textId="77777777" w:rsidTr="0099699E">
        <w:tc>
          <w:tcPr>
            <w:tcW w:w="1795" w:type="dxa"/>
          </w:tcPr>
          <w:p w14:paraId="16E704E1" w14:textId="0CBBD53E" w:rsidR="00CA3C46" w:rsidRPr="00E759E9" w:rsidRDefault="00011A35" w:rsidP="00A84A22">
            <w:pPr>
              <w:spacing w:before="100" w:beforeAutospacing="1" w:after="100" w:afterAutospacing="1"/>
              <w:rPr>
                <w:szCs w:val="24"/>
              </w:rPr>
            </w:pPr>
            <w:r w:rsidRPr="00E759E9">
              <w:rPr>
                <w:szCs w:val="24"/>
              </w:rPr>
              <w:t>V1</w:t>
            </w:r>
          </w:p>
        </w:tc>
        <w:tc>
          <w:tcPr>
            <w:tcW w:w="1620" w:type="dxa"/>
          </w:tcPr>
          <w:p w14:paraId="37B2E7D5" w14:textId="3F424295" w:rsidR="00CA3C46" w:rsidRPr="00E759E9" w:rsidRDefault="00BC1FD7" w:rsidP="00A84A22">
            <w:pPr>
              <w:spacing w:before="100" w:beforeAutospacing="1" w:after="100" w:afterAutospacing="1"/>
              <w:rPr>
                <w:szCs w:val="24"/>
              </w:rPr>
            </w:pPr>
            <w:r w:rsidRPr="00E759E9">
              <w:rPr>
                <w:szCs w:val="24"/>
              </w:rPr>
              <w:t>2/16/2024</w:t>
            </w:r>
          </w:p>
        </w:tc>
        <w:tc>
          <w:tcPr>
            <w:tcW w:w="3597" w:type="dxa"/>
          </w:tcPr>
          <w:p w14:paraId="6574A3C7" w14:textId="2F2329EC" w:rsidR="00CA3C46" w:rsidRPr="00E759E9" w:rsidRDefault="00011A35" w:rsidP="00A84A22">
            <w:pPr>
              <w:spacing w:before="100" w:beforeAutospacing="1" w:after="100" w:afterAutospacing="1"/>
              <w:rPr>
                <w:szCs w:val="24"/>
              </w:rPr>
            </w:pPr>
            <w:r w:rsidRPr="00E759E9">
              <w:rPr>
                <w:szCs w:val="24"/>
              </w:rPr>
              <w:t>Initial Draft</w:t>
            </w:r>
          </w:p>
        </w:tc>
        <w:tc>
          <w:tcPr>
            <w:tcW w:w="2338" w:type="dxa"/>
          </w:tcPr>
          <w:p w14:paraId="46BBFB7C" w14:textId="74919401" w:rsidR="00CA3C46" w:rsidRPr="00E759E9" w:rsidRDefault="00011A35" w:rsidP="00A84A22">
            <w:pPr>
              <w:spacing w:before="100" w:beforeAutospacing="1" w:after="100" w:afterAutospacing="1"/>
              <w:rPr>
                <w:szCs w:val="24"/>
              </w:rPr>
            </w:pPr>
            <w:r w:rsidRPr="00E759E9">
              <w:rPr>
                <w:szCs w:val="24"/>
              </w:rPr>
              <w:t>Chris Burroughs</w:t>
            </w:r>
          </w:p>
        </w:tc>
      </w:tr>
      <w:tr w:rsidR="001D4637" w:rsidRPr="00E759E9" w14:paraId="16B9C8C4" w14:textId="77777777" w:rsidTr="0099699E">
        <w:tc>
          <w:tcPr>
            <w:tcW w:w="1795" w:type="dxa"/>
          </w:tcPr>
          <w:p w14:paraId="35CC6B09" w14:textId="77777777" w:rsidR="00CA3C46" w:rsidRPr="00E759E9" w:rsidRDefault="00CA3C46" w:rsidP="00A84A22">
            <w:pPr>
              <w:spacing w:before="100" w:beforeAutospacing="1" w:after="100" w:afterAutospacing="1"/>
              <w:rPr>
                <w:szCs w:val="24"/>
              </w:rPr>
            </w:pPr>
          </w:p>
        </w:tc>
        <w:tc>
          <w:tcPr>
            <w:tcW w:w="1620" w:type="dxa"/>
          </w:tcPr>
          <w:p w14:paraId="7E330D29" w14:textId="77777777" w:rsidR="00CA3C46" w:rsidRPr="00E759E9" w:rsidRDefault="00CA3C46" w:rsidP="00A84A22">
            <w:pPr>
              <w:spacing w:before="100" w:beforeAutospacing="1" w:after="100" w:afterAutospacing="1"/>
              <w:rPr>
                <w:szCs w:val="24"/>
              </w:rPr>
            </w:pPr>
          </w:p>
        </w:tc>
        <w:tc>
          <w:tcPr>
            <w:tcW w:w="3597" w:type="dxa"/>
          </w:tcPr>
          <w:p w14:paraId="078CD662" w14:textId="77777777" w:rsidR="00CA3C46" w:rsidRPr="00E759E9" w:rsidRDefault="00CA3C46" w:rsidP="00A84A22">
            <w:pPr>
              <w:spacing w:before="100" w:beforeAutospacing="1" w:after="100" w:afterAutospacing="1"/>
              <w:rPr>
                <w:szCs w:val="24"/>
              </w:rPr>
            </w:pPr>
          </w:p>
        </w:tc>
        <w:tc>
          <w:tcPr>
            <w:tcW w:w="2338" w:type="dxa"/>
          </w:tcPr>
          <w:p w14:paraId="41092413" w14:textId="77777777" w:rsidR="00CA3C46" w:rsidRPr="00E759E9" w:rsidRDefault="00CA3C46" w:rsidP="00A84A22">
            <w:pPr>
              <w:spacing w:before="100" w:beforeAutospacing="1" w:after="100" w:afterAutospacing="1"/>
              <w:rPr>
                <w:szCs w:val="24"/>
              </w:rPr>
            </w:pPr>
          </w:p>
        </w:tc>
      </w:tr>
      <w:tr w:rsidR="001D4637" w:rsidRPr="00E759E9" w14:paraId="4B3C6952" w14:textId="77777777" w:rsidTr="0099699E">
        <w:tc>
          <w:tcPr>
            <w:tcW w:w="1795" w:type="dxa"/>
          </w:tcPr>
          <w:p w14:paraId="7057D533" w14:textId="77777777" w:rsidR="00CA3C46" w:rsidRPr="00E759E9" w:rsidRDefault="00CA3C46" w:rsidP="00A84A22">
            <w:pPr>
              <w:spacing w:before="100" w:beforeAutospacing="1" w:after="100" w:afterAutospacing="1"/>
              <w:rPr>
                <w:szCs w:val="24"/>
              </w:rPr>
            </w:pPr>
          </w:p>
        </w:tc>
        <w:tc>
          <w:tcPr>
            <w:tcW w:w="1620" w:type="dxa"/>
          </w:tcPr>
          <w:p w14:paraId="749B0919" w14:textId="77777777" w:rsidR="00CA3C46" w:rsidRPr="00E759E9" w:rsidRDefault="00CA3C46" w:rsidP="00A84A22">
            <w:pPr>
              <w:spacing w:before="100" w:beforeAutospacing="1" w:after="100" w:afterAutospacing="1"/>
              <w:rPr>
                <w:szCs w:val="24"/>
              </w:rPr>
            </w:pPr>
          </w:p>
        </w:tc>
        <w:tc>
          <w:tcPr>
            <w:tcW w:w="3597" w:type="dxa"/>
          </w:tcPr>
          <w:p w14:paraId="7AB902C8" w14:textId="77777777" w:rsidR="00CA3C46" w:rsidRPr="00E759E9" w:rsidRDefault="00CA3C46" w:rsidP="00A84A22">
            <w:pPr>
              <w:spacing w:before="100" w:beforeAutospacing="1" w:after="100" w:afterAutospacing="1"/>
              <w:rPr>
                <w:szCs w:val="24"/>
              </w:rPr>
            </w:pPr>
          </w:p>
        </w:tc>
        <w:tc>
          <w:tcPr>
            <w:tcW w:w="2338" w:type="dxa"/>
          </w:tcPr>
          <w:p w14:paraId="26ACB8DB" w14:textId="77777777" w:rsidR="00CA3C46" w:rsidRPr="00E759E9" w:rsidRDefault="00CA3C46" w:rsidP="00A84A22">
            <w:pPr>
              <w:spacing w:before="100" w:beforeAutospacing="1" w:after="100" w:afterAutospacing="1"/>
              <w:rPr>
                <w:szCs w:val="24"/>
              </w:rPr>
            </w:pPr>
          </w:p>
        </w:tc>
      </w:tr>
    </w:tbl>
    <w:p w14:paraId="67A15EBB" w14:textId="77777777" w:rsidR="00CA3C46" w:rsidRPr="001D4637" w:rsidRDefault="00CA3C46" w:rsidP="00A84A22">
      <w:pPr>
        <w:spacing w:before="100" w:beforeAutospacing="1" w:after="100" w:afterAutospacing="1"/>
      </w:pPr>
    </w:p>
    <w:p w14:paraId="2DA6515F" w14:textId="1E20E9D3" w:rsidR="00D52FBB" w:rsidRDefault="00D52FBB">
      <w:pPr>
        <w:spacing w:after="200"/>
      </w:pPr>
    </w:p>
    <w:sectPr w:rsidR="00D52FBB" w:rsidSect="006A7C20">
      <w:headerReference w:type="default" r:id="rId12"/>
      <w:footerReference w:type="default" r:id="rId13"/>
      <w:headerReference w:type="first" r:id="rId14"/>
      <w:footerReference w:type="first" r:id="rId15"/>
      <w:pgSz w:w="12240" w:h="15840"/>
      <w:pgMar w:top="720" w:right="1152" w:bottom="720" w:left="1152" w:header="0" w:footer="288" w:gutter="0"/>
      <w:pgNumType w:start="1"/>
      <w:cols w:space="720"/>
      <w:titlePg/>
      <w:docGrid w:linePitch="38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7718B8" w14:textId="77777777" w:rsidR="009212A5" w:rsidRDefault="009212A5">
      <w:r>
        <w:separator/>
      </w:r>
    </w:p>
    <w:p w14:paraId="60FC3610" w14:textId="77777777" w:rsidR="009212A5" w:rsidRDefault="009212A5"/>
  </w:endnote>
  <w:endnote w:type="continuationSeparator" w:id="0">
    <w:p w14:paraId="5C4383E9" w14:textId="77777777" w:rsidR="009212A5" w:rsidRDefault="009212A5">
      <w:r>
        <w:continuationSeparator/>
      </w:r>
    </w:p>
    <w:p w14:paraId="25285A10" w14:textId="77777777" w:rsidR="009212A5" w:rsidRDefault="009212A5"/>
  </w:endnote>
  <w:endnote w:type="continuationNotice" w:id="1">
    <w:p w14:paraId="4C59114F" w14:textId="77777777" w:rsidR="009212A5" w:rsidRDefault="009212A5">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56481697"/>
      <w:docPartObj>
        <w:docPartGallery w:val="Page Numbers (Bottom of Page)"/>
        <w:docPartUnique/>
      </w:docPartObj>
    </w:sdtPr>
    <w:sdtEndPr>
      <w:rPr>
        <w:noProof/>
      </w:rPr>
    </w:sdtEndPr>
    <w:sdtContent>
      <w:p w14:paraId="0815E49C" w14:textId="4B12F56A" w:rsidR="006A7C20" w:rsidRDefault="006A7C20">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08E57A6" w14:textId="33D10C3A" w:rsidR="00DF027C" w:rsidRDefault="00DF027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27305561"/>
      <w:docPartObj>
        <w:docPartGallery w:val="Page Numbers (Bottom of Page)"/>
        <w:docPartUnique/>
      </w:docPartObj>
    </w:sdtPr>
    <w:sdtEndPr>
      <w:rPr>
        <w:noProof/>
      </w:rPr>
    </w:sdtEndPr>
    <w:sdtContent>
      <w:p w14:paraId="7E72C22B" w14:textId="0DB56C0B" w:rsidR="006A7C20" w:rsidRDefault="006A7C20">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5A7B90C" w14:textId="77777777" w:rsidR="006A7C20" w:rsidRDefault="006A7C2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075C7E" w14:textId="77777777" w:rsidR="009212A5" w:rsidRDefault="009212A5">
      <w:r>
        <w:separator/>
      </w:r>
    </w:p>
    <w:p w14:paraId="7A740DC2" w14:textId="77777777" w:rsidR="009212A5" w:rsidRDefault="009212A5"/>
  </w:footnote>
  <w:footnote w:type="continuationSeparator" w:id="0">
    <w:p w14:paraId="3E84DBF1" w14:textId="77777777" w:rsidR="009212A5" w:rsidRDefault="009212A5">
      <w:r>
        <w:continuationSeparator/>
      </w:r>
    </w:p>
    <w:p w14:paraId="09F67396" w14:textId="77777777" w:rsidR="009212A5" w:rsidRDefault="009212A5"/>
  </w:footnote>
  <w:footnote w:type="continuationNotice" w:id="1">
    <w:p w14:paraId="432E12D5" w14:textId="77777777" w:rsidR="009212A5" w:rsidRDefault="009212A5">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43D581" w14:textId="69BB5A17" w:rsidR="00061993" w:rsidRDefault="00061993">
    <w:pPr>
      <w:pStyle w:val="Header"/>
    </w:pPr>
  </w:p>
  <w:p w14:paraId="62A28FE0" w14:textId="13E42284" w:rsidR="00D077E9" w:rsidRDefault="00D077E9" w:rsidP="00D077E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08AB3E" w14:textId="6BBBB5F6" w:rsidR="006A7C20" w:rsidRDefault="006A7C20" w:rsidP="006A7C20">
    <w:pPr>
      <w:pStyle w:val="Header"/>
      <w:spacing w:before="360"/>
    </w:pPr>
    <w:r>
      <w:rPr>
        <w:noProof/>
      </w:rPr>
      <w:drawing>
        <wp:inline distT="0" distB="0" distL="0" distR="0" wp14:anchorId="1B409AFA" wp14:editId="376C398E">
          <wp:extent cx="2484782" cy="602190"/>
          <wp:effectExtent l="0" t="0" r="0" b="7620"/>
          <wp:docPr id="398030221" name="Picture 2" descr="Office of Data Governance and Analytic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8030221" name="Picture 2" descr="Office of Data Governance and Analytics logo"/>
                  <pic:cNvPicPr/>
                </pic:nvPicPr>
                <pic:blipFill>
                  <a:blip r:embed="rId1">
                    <a:extLst>
                      <a:ext uri="{28A0092B-C50C-407E-A947-70E740481C1C}">
                        <a14:useLocalDpi xmlns:a14="http://schemas.microsoft.com/office/drawing/2010/main" val="0"/>
                      </a:ext>
                    </a:extLst>
                  </a:blip>
                  <a:stretch>
                    <a:fillRect/>
                  </a:stretch>
                </pic:blipFill>
                <pic:spPr>
                  <a:xfrm>
                    <a:off x="0" y="0"/>
                    <a:ext cx="2501330" cy="6062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E03FA"/>
    <w:multiLevelType w:val="hybridMultilevel"/>
    <w:tmpl w:val="C1546898"/>
    <w:lvl w:ilvl="0" w:tplc="04090001">
      <w:start w:val="1"/>
      <w:numFmt w:val="bullet"/>
      <w:lvlText w:val=""/>
      <w:lvlJc w:val="left"/>
      <w:pPr>
        <w:ind w:left="720" w:hanging="360"/>
      </w:pPr>
      <w:rPr>
        <w:rFonts w:ascii="Symbol" w:hAnsi="Symbol" w:hint="default"/>
      </w:rPr>
    </w:lvl>
    <w:lvl w:ilvl="1" w:tplc="E8545F4A">
      <w:numFmt w:val="bullet"/>
      <w:lvlText w:val="•"/>
      <w:lvlJc w:val="left"/>
      <w:pPr>
        <w:ind w:left="1800" w:hanging="720"/>
      </w:pPr>
      <w:rPr>
        <w:rFonts w:ascii="Calibri" w:eastAsiaTheme="minorEastAsia"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C42D71"/>
    <w:multiLevelType w:val="hybridMultilevel"/>
    <w:tmpl w:val="01BE2AF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08E622E5"/>
    <w:multiLevelType w:val="multilevel"/>
    <w:tmpl w:val="C5D2B4F0"/>
    <w:lvl w:ilvl="0">
      <w:start w:val="1"/>
      <w:numFmt w:val="decimal"/>
      <w:lvlText w:val="%1."/>
      <w:lvlJc w:val="left"/>
      <w:pPr>
        <w:tabs>
          <w:tab w:val="num" w:pos="1080"/>
        </w:tabs>
        <w:ind w:left="1080" w:hanging="360"/>
      </w:pPr>
    </w:lvl>
    <w:lvl w:ilvl="1" w:tentative="1">
      <w:start w:val="1"/>
      <w:numFmt w:val="upperLetter"/>
      <w:lvlText w:val="%2."/>
      <w:lvlJc w:val="left"/>
      <w:pPr>
        <w:tabs>
          <w:tab w:val="num" w:pos="1800"/>
        </w:tabs>
        <w:ind w:left="1800" w:hanging="360"/>
      </w:pPr>
    </w:lvl>
    <w:lvl w:ilvl="2" w:tentative="1">
      <w:start w:val="1"/>
      <w:numFmt w:val="upperLetter"/>
      <w:lvlText w:val="%3."/>
      <w:lvlJc w:val="left"/>
      <w:pPr>
        <w:tabs>
          <w:tab w:val="num" w:pos="2520"/>
        </w:tabs>
        <w:ind w:left="2520" w:hanging="360"/>
      </w:pPr>
    </w:lvl>
    <w:lvl w:ilvl="3" w:tentative="1">
      <w:start w:val="1"/>
      <w:numFmt w:val="upperLetter"/>
      <w:lvlText w:val="%4."/>
      <w:lvlJc w:val="left"/>
      <w:pPr>
        <w:tabs>
          <w:tab w:val="num" w:pos="3240"/>
        </w:tabs>
        <w:ind w:left="3240" w:hanging="360"/>
      </w:pPr>
    </w:lvl>
    <w:lvl w:ilvl="4" w:tentative="1">
      <w:start w:val="1"/>
      <w:numFmt w:val="upperLetter"/>
      <w:lvlText w:val="%5."/>
      <w:lvlJc w:val="left"/>
      <w:pPr>
        <w:tabs>
          <w:tab w:val="num" w:pos="3960"/>
        </w:tabs>
        <w:ind w:left="3960" w:hanging="360"/>
      </w:pPr>
    </w:lvl>
    <w:lvl w:ilvl="5" w:tentative="1">
      <w:start w:val="1"/>
      <w:numFmt w:val="upperLetter"/>
      <w:lvlText w:val="%6."/>
      <w:lvlJc w:val="left"/>
      <w:pPr>
        <w:tabs>
          <w:tab w:val="num" w:pos="4680"/>
        </w:tabs>
        <w:ind w:left="4680" w:hanging="360"/>
      </w:pPr>
    </w:lvl>
    <w:lvl w:ilvl="6" w:tentative="1">
      <w:start w:val="1"/>
      <w:numFmt w:val="upperLetter"/>
      <w:lvlText w:val="%7."/>
      <w:lvlJc w:val="left"/>
      <w:pPr>
        <w:tabs>
          <w:tab w:val="num" w:pos="5400"/>
        </w:tabs>
        <w:ind w:left="5400" w:hanging="360"/>
      </w:pPr>
    </w:lvl>
    <w:lvl w:ilvl="7" w:tentative="1">
      <w:start w:val="1"/>
      <w:numFmt w:val="upperLetter"/>
      <w:lvlText w:val="%8."/>
      <w:lvlJc w:val="left"/>
      <w:pPr>
        <w:tabs>
          <w:tab w:val="num" w:pos="6120"/>
        </w:tabs>
        <w:ind w:left="6120" w:hanging="360"/>
      </w:pPr>
    </w:lvl>
    <w:lvl w:ilvl="8" w:tentative="1">
      <w:start w:val="1"/>
      <w:numFmt w:val="upperLetter"/>
      <w:lvlText w:val="%9."/>
      <w:lvlJc w:val="left"/>
      <w:pPr>
        <w:tabs>
          <w:tab w:val="num" w:pos="6840"/>
        </w:tabs>
        <w:ind w:left="6840" w:hanging="360"/>
      </w:pPr>
    </w:lvl>
  </w:abstractNum>
  <w:abstractNum w:abstractNumId="3" w15:restartNumberingAfterBreak="0">
    <w:nsid w:val="0CEE4A72"/>
    <w:multiLevelType w:val="hybridMultilevel"/>
    <w:tmpl w:val="DFC882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B461B2"/>
    <w:multiLevelType w:val="hybridMultilevel"/>
    <w:tmpl w:val="8CCAC0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18F6115"/>
    <w:multiLevelType w:val="hybridMultilevel"/>
    <w:tmpl w:val="51F0B9F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1C97CEC"/>
    <w:multiLevelType w:val="hybridMultilevel"/>
    <w:tmpl w:val="6FB4D6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7D74240"/>
    <w:multiLevelType w:val="hybridMultilevel"/>
    <w:tmpl w:val="C3587BB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1A7128C3"/>
    <w:multiLevelType w:val="hybridMultilevel"/>
    <w:tmpl w:val="F70AD06A"/>
    <w:lvl w:ilvl="0" w:tplc="9BB62528">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AF55F59"/>
    <w:multiLevelType w:val="multilevel"/>
    <w:tmpl w:val="22185C22"/>
    <w:lvl w:ilvl="0">
      <w:start w:val="4"/>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0" w15:restartNumberingAfterBreak="0">
    <w:nsid w:val="227C1518"/>
    <w:multiLevelType w:val="hybridMultilevel"/>
    <w:tmpl w:val="EC3441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3896AEB"/>
    <w:multiLevelType w:val="hybridMultilevel"/>
    <w:tmpl w:val="1D3CD4E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15:restartNumberingAfterBreak="0">
    <w:nsid w:val="29816983"/>
    <w:multiLevelType w:val="hybridMultilevel"/>
    <w:tmpl w:val="C7185ED2"/>
    <w:lvl w:ilvl="0" w:tplc="04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2D1A7D0B"/>
    <w:multiLevelType w:val="hybridMultilevel"/>
    <w:tmpl w:val="D1DA492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30F56945"/>
    <w:multiLevelType w:val="hybridMultilevel"/>
    <w:tmpl w:val="616CE1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1956A84"/>
    <w:multiLevelType w:val="hybridMultilevel"/>
    <w:tmpl w:val="312E07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303463A"/>
    <w:multiLevelType w:val="multilevel"/>
    <w:tmpl w:val="E712372E"/>
    <w:lvl w:ilvl="0">
      <w:start w:val="3"/>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7" w15:restartNumberingAfterBreak="0">
    <w:nsid w:val="336D2986"/>
    <w:multiLevelType w:val="hybridMultilevel"/>
    <w:tmpl w:val="7264D37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720" w:hanging="360"/>
      </w:pPr>
      <w:rPr>
        <w:rFonts w:ascii="Courier New" w:hAnsi="Courier New" w:cs="Courier New" w:hint="default"/>
      </w:rPr>
    </w:lvl>
    <w:lvl w:ilvl="2" w:tplc="04090005">
      <w:start w:val="1"/>
      <w:numFmt w:val="bullet"/>
      <w:lvlText w:val=""/>
      <w:lvlJc w:val="left"/>
      <w:pPr>
        <w:ind w:left="0" w:hanging="360"/>
      </w:pPr>
      <w:rPr>
        <w:rFonts w:ascii="Wingdings" w:hAnsi="Wingdings" w:hint="default"/>
      </w:rPr>
    </w:lvl>
    <w:lvl w:ilvl="3" w:tplc="04090001" w:tentative="1">
      <w:start w:val="1"/>
      <w:numFmt w:val="bullet"/>
      <w:lvlText w:val=""/>
      <w:lvlJc w:val="left"/>
      <w:pPr>
        <w:ind w:left="720" w:hanging="360"/>
      </w:pPr>
      <w:rPr>
        <w:rFonts w:ascii="Symbol" w:hAnsi="Symbol" w:hint="default"/>
      </w:rPr>
    </w:lvl>
    <w:lvl w:ilvl="4" w:tplc="04090003" w:tentative="1">
      <w:start w:val="1"/>
      <w:numFmt w:val="bullet"/>
      <w:lvlText w:val="o"/>
      <w:lvlJc w:val="left"/>
      <w:pPr>
        <w:ind w:left="1440" w:hanging="360"/>
      </w:pPr>
      <w:rPr>
        <w:rFonts w:ascii="Courier New" w:hAnsi="Courier New" w:cs="Courier New" w:hint="default"/>
      </w:rPr>
    </w:lvl>
    <w:lvl w:ilvl="5" w:tplc="04090005" w:tentative="1">
      <w:start w:val="1"/>
      <w:numFmt w:val="bullet"/>
      <w:lvlText w:val=""/>
      <w:lvlJc w:val="left"/>
      <w:pPr>
        <w:ind w:left="2160" w:hanging="360"/>
      </w:pPr>
      <w:rPr>
        <w:rFonts w:ascii="Wingdings" w:hAnsi="Wingdings" w:hint="default"/>
      </w:rPr>
    </w:lvl>
    <w:lvl w:ilvl="6" w:tplc="04090001" w:tentative="1">
      <w:start w:val="1"/>
      <w:numFmt w:val="bullet"/>
      <w:lvlText w:val=""/>
      <w:lvlJc w:val="left"/>
      <w:pPr>
        <w:ind w:left="2880" w:hanging="360"/>
      </w:pPr>
      <w:rPr>
        <w:rFonts w:ascii="Symbol" w:hAnsi="Symbol" w:hint="default"/>
      </w:rPr>
    </w:lvl>
    <w:lvl w:ilvl="7" w:tplc="04090003" w:tentative="1">
      <w:start w:val="1"/>
      <w:numFmt w:val="bullet"/>
      <w:lvlText w:val="o"/>
      <w:lvlJc w:val="left"/>
      <w:pPr>
        <w:ind w:left="3600" w:hanging="360"/>
      </w:pPr>
      <w:rPr>
        <w:rFonts w:ascii="Courier New" w:hAnsi="Courier New" w:cs="Courier New" w:hint="default"/>
      </w:rPr>
    </w:lvl>
    <w:lvl w:ilvl="8" w:tplc="04090005" w:tentative="1">
      <w:start w:val="1"/>
      <w:numFmt w:val="bullet"/>
      <w:lvlText w:val=""/>
      <w:lvlJc w:val="left"/>
      <w:pPr>
        <w:ind w:left="4320" w:hanging="360"/>
      </w:pPr>
      <w:rPr>
        <w:rFonts w:ascii="Wingdings" w:hAnsi="Wingdings" w:hint="default"/>
      </w:rPr>
    </w:lvl>
  </w:abstractNum>
  <w:abstractNum w:abstractNumId="18" w15:restartNumberingAfterBreak="0">
    <w:nsid w:val="36505F5F"/>
    <w:multiLevelType w:val="multilevel"/>
    <w:tmpl w:val="131A0EEC"/>
    <w:lvl w:ilvl="0">
      <w:start w:val="1"/>
      <w:numFmt w:val="decimal"/>
      <w:lvlText w:val="%1."/>
      <w:lvlJc w:val="left"/>
      <w:pPr>
        <w:tabs>
          <w:tab w:val="num" w:pos="1080"/>
        </w:tabs>
        <w:ind w:left="1080" w:hanging="360"/>
      </w:pPr>
    </w:lvl>
    <w:lvl w:ilvl="1">
      <w:start w:val="1"/>
      <w:numFmt w:val="decimal"/>
      <w:lvlText w:val="%2."/>
      <w:lvlJc w:val="left"/>
      <w:pPr>
        <w:tabs>
          <w:tab w:val="num" w:pos="1800"/>
        </w:tabs>
        <w:ind w:left="1800" w:hanging="360"/>
      </w:pPr>
    </w:lvl>
    <w:lvl w:ilvl="2" w:tentative="1">
      <w:start w:val="1"/>
      <w:numFmt w:val="upperLetter"/>
      <w:lvlText w:val="%3."/>
      <w:lvlJc w:val="left"/>
      <w:pPr>
        <w:tabs>
          <w:tab w:val="num" w:pos="2520"/>
        </w:tabs>
        <w:ind w:left="2520" w:hanging="360"/>
      </w:pPr>
    </w:lvl>
    <w:lvl w:ilvl="3" w:tentative="1">
      <w:start w:val="1"/>
      <w:numFmt w:val="upperLetter"/>
      <w:lvlText w:val="%4."/>
      <w:lvlJc w:val="left"/>
      <w:pPr>
        <w:tabs>
          <w:tab w:val="num" w:pos="3240"/>
        </w:tabs>
        <w:ind w:left="3240" w:hanging="360"/>
      </w:pPr>
    </w:lvl>
    <w:lvl w:ilvl="4" w:tentative="1">
      <w:start w:val="1"/>
      <w:numFmt w:val="upperLetter"/>
      <w:lvlText w:val="%5."/>
      <w:lvlJc w:val="left"/>
      <w:pPr>
        <w:tabs>
          <w:tab w:val="num" w:pos="3960"/>
        </w:tabs>
        <w:ind w:left="3960" w:hanging="360"/>
      </w:pPr>
    </w:lvl>
    <w:lvl w:ilvl="5" w:tentative="1">
      <w:start w:val="1"/>
      <w:numFmt w:val="upperLetter"/>
      <w:lvlText w:val="%6."/>
      <w:lvlJc w:val="left"/>
      <w:pPr>
        <w:tabs>
          <w:tab w:val="num" w:pos="4680"/>
        </w:tabs>
        <w:ind w:left="4680" w:hanging="360"/>
      </w:pPr>
    </w:lvl>
    <w:lvl w:ilvl="6" w:tentative="1">
      <w:start w:val="1"/>
      <w:numFmt w:val="upperLetter"/>
      <w:lvlText w:val="%7."/>
      <w:lvlJc w:val="left"/>
      <w:pPr>
        <w:tabs>
          <w:tab w:val="num" w:pos="5400"/>
        </w:tabs>
        <w:ind w:left="5400" w:hanging="360"/>
      </w:pPr>
    </w:lvl>
    <w:lvl w:ilvl="7" w:tentative="1">
      <w:start w:val="1"/>
      <w:numFmt w:val="upperLetter"/>
      <w:lvlText w:val="%8."/>
      <w:lvlJc w:val="left"/>
      <w:pPr>
        <w:tabs>
          <w:tab w:val="num" w:pos="6120"/>
        </w:tabs>
        <w:ind w:left="6120" w:hanging="360"/>
      </w:pPr>
    </w:lvl>
    <w:lvl w:ilvl="8" w:tentative="1">
      <w:start w:val="1"/>
      <w:numFmt w:val="upperLetter"/>
      <w:lvlText w:val="%9."/>
      <w:lvlJc w:val="left"/>
      <w:pPr>
        <w:tabs>
          <w:tab w:val="num" w:pos="6840"/>
        </w:tabs>
        <w:ind w:left="6840" w:hanging="360"/>
      </w:pPr>
    </w:lvl>
  </w:abstractNum>
  <w:abstractNum w:abstractNumId="19" w15:restartNumberingAfterBreak="0">
    <w:nsid w:val="37462A3A"/>
    <w:multiLevelType w:val="hybridMultilevel"/>
    <w:tmpl w:val="816C8E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CAA0CC7"/>
    <w:multiLevelType w:val="hybridMultilevel"/>
    <w:tmpl w:val="B980D54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3F67165C"/>
    <w:multiLevelType w:val="hybridMultilevel"/>
    <w:tmpl w:val="EF288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41B7B2F"/>
    <w:multiLevelType w:val="hybridMultilevel"/>
    <w:tmpl w:val="3EC0A1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4C6303B"/>
    <w:multiLevelType w:val="multilevel"/>
    <w:tmpl w:val="131A0EEC"/>
    <w:lvl w:ilvl="0">
      <w:start w:val="1"/>
      <w:numFmt w:val="decimal"/>
      <w:lvlText w:val="%1."/>
      <w:lvlJc w:val="left"/>
      <w:pPr>
        <w:tabs>
          <w:tab w:val="num" w:pos="1080"/>
        </w:tabs>
        <w:ind w:left="1080" w:hanging="360"/>
      </w:pPr>
    </w:lvl>
    <w:lvl w:ilvl="1">
      <w:start w:val="1"/>
      <w:numFmt w:val="decimal"/>
      <w:lvlText w:val="%2."/>
      <w:lvlJc w:val="left"/>
      <w:pPr>
        <w:tabs>
          <w:tab w:val="num" w:pos="1800"/>
        </w:tabs>
        <w:ind w:left="1800" w:hanging="360"/>
      </w:pPr>
    </w:lvl>
    <w:lvl w:ilvl="2" w:tentative="1">
      <w:start w:val="1"/>
      <w:numFmt w:val="upperLetter"/>
      <w:lvlText w:val="%3."/>
      <w:lvlJc w:val="left"/>
      <w:pPr>
        <w:tabs>
          <w:tab w:val="num" w:pos="2520"/>
        </w:tabs>
        <w:ind w:left="2520" w:hanging="360"/>
      </w:pPr>
    </w:lvl>
    <w:lvl w:ilvl="3" w:tentative="1">
      <w:start w:val="1"/>
      <w:numFmt w:val="upperLetter"/>
      <w:lvlText w:val="%4."/>
      <w:lvlJc w:val="left"/>
      <w:pPr>
        <w:tabs>
          <w:tab w:val="num" w:pos="3240"/>
        </w:tabs>
        <w:ind w:left="3240" w:hanging="360"/>
      </w:pPr>
    </w:lvl>
    <w:lvl w:ilvl="4" w:tentative="1">
      <w:start w:val="1"/>
      <w:numFmt w:val="upperLetter"/>
      <w:lvlText w:val="%5."/>
      <w:lvlJc w:val="left"/>
      <w:pPr>
        <w:tabs>
          <w:tab w:val="num" w:pos="3960"/>
        </w:tabs>
        <w:ind w:left="3960" w:hanging="360"/>
      </w:pPr>
    </w:lvl>
    <w:lvl w:ilvl="5" w:tentative="1">
      <w:start w:val="1"/>
      <w:numFmt w:val="upperLetter"/>
      <w:lvlText w:val="%6."/>
      <w:lvlJc w:val="left"/>
      <w:pPr>
        <w:tabs>
          <w:tab w:val="num" w:pos="4680"/>
        </w:tabs>
        <w:ind w:left="4680" w:hanging="360"/>
      </w:pPr>
    </w:lvl>
    <w:lvl w:ilvl="6" w:tentative="1">
      <w:start w:val="1"/>
      <w:numFmt w:val="upperLetter"/>
      <w:lvlText w:val="%7."/>
      <w:lvlJc w:val="left"/>
      <w:pPr>
        <w:tabs>
          <w:tab w:val="num" w:pos="5400"/>
        </w:tabs>
        <w:ind w:left="5400" w:hanging="360"/>
      </w:pPr>
    </w:lvl>
    <w:lvl w:ilvl="7" w:tentative="1">
      <w:start w:val="1"/>
      <w:numFmt w:val="upperLetter"/>
      <w:lvlText w:val="%8."/>
      <w:lvlJc w:val="left"/>
      <w:pPr>
        <w:tabs>
          <w:tab w:val="num" w:pos="6120"/>
        </w:tabs>
        <w:ind w:left="6120" w:hanging="360"/>
      </w:pPr>
    </w:lvl>
    <w:lvl w:ilvl="8" w:tentative="1">
      <w:start w:val="1"/>
      <w:numFmt w:val="upperLetter"/>
      <w:lvlText w:val="%9."/>
      <w:lvlJc w:val="left"/>
      <w:pPr>
        <w:tabs>
          <w:tab w:val="num" w:pos="6840"/>
        </w:tabs>
        <w:ind w:left="6840" w:hanging="360"/>
      </w:pPr>
    </w:lvl>
  </w:abstractNum>
  <w:abstractNum w:abstractNumId="24" w15:restartNumberingAfterBreak="0">
    <w:nsid w:val="4AA02653"/>
    <w:multiLevelType w:val="hybridMultilevel"/>
    <w:tmpl w:val="F6187F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C2743B5"/>
    <w:multiLevelType w:val="hybridMultilevel"/>
    <w:tmpl w:val="5BDA3ED2"/>
    <w:lvl w:ilvl="0" w:tplc="04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55585D9C"/>
    <w:multiLevelType w:val="hybridMultilevel"/>
    <w:tmpl w:val="ED3EE4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83F24FB"/>
    <w:multiLevelType w:val="multilevel"/>
    <w:tmpl w:val="131A0EEC"/>
    <w:lvl w:ilvl="0">
      <w:start w:val="1"/>
      <w:numFmt w:val="decimal"/>
      <w:lvlText w:val="%1."/>
      <w:lvlJc w:val="left"/>
      <w:pPr>
        <w:tabs>
          <w:tab w:val="num" w:pos="1080"/>
        </w:tabs>
        <w:ind w:left="1080" w:hanging="360"/>
      </w:pPr>
    </w:lvl>
    <w:lvl w:ilvl="1">
      <w:start w:val="1"/>
      <w:numFmt w:val="decimal"/>
      <w:lvlText w:val="%2."/>
      <w:lvlJc w:val="left"/>
      <w:pPr>
        <w:tabs>
          <w:tab w:val="num" w:pos="1800"/>
        </w:tabs>
        <w:ind w:left="1800" w:hanging="360"/>
      </w:pPr>
    </w:lvl>
    <w:lvl w:ilvl="2" w:tentative="1">
      <w:start w:val="1"/>
      <w:numFmt w:val="upperLetter"/>
      <w:lvlText w:val="%3."/>
      <w:lvlJc w:val="left"/>
      <w:pPr>
        <w:tabs>
          <w:tab w:val="num" w:pos="2520"/>
        </w:tabs>
        <w:ind w:left="2520" w:hanging="360"/>
      </w:pPr>
    </w:lvl>
    <w:lvl w:ilvl="3" w:tentative="1">
      <w:start w:val="1"/>
      <w:numFmt w:val="upperLetter"/>
      <w:lvlText w:val="%4."/>
      <w:lvlJc w:val="left"/>
      <w:pPr>
        <w:tabs>
          <w:tab w:val="num" w:pos="3240"/>
        </w:tabs>
        <w:ind w:left="3240" w:hanging="360"/>
      </w:pPr>
    </w:lvl>
    <w:lvl w:ilvl="4" w:tentative="1">
      <w:start w:val="1"/>
      <w:numFmt w:val="upperLetter"/>
      <w:lvlText w:val="%5."/>
      <w:lvlJc w:val="left"/>
      <w:pPr>
        <w:tabs>
          <w:tab w:val="num" w:pos="3960"/>
        </w:tabs>
        <w:ind w:left="3960" w:hanging="360"/>
      </w:pPr>
    </w:lvl>
    <w:lvl w:ilvl="5" w:tentative="1">
      <w:start w:val="1"/>
      <w:numFmt w:val="upperLetter"/>
      <w:lvlText w:val="%6."/>
      <w:lvlJc w:val="left"/>
      <w:pPr>
        <w:tabs>
          <w:tab w:val="num" w:pos="4680"/>
        </w:tabs>
        <w:ind w:left="4680" w:hanging="360"/>
      </w:pPr>
    </w:lvl>
    <w:lvl w:ilvl="6" w:tentative="1">
      <w:start w:val="1"/>
      <w:numFmt w:val="upperLetter"/>
      <w:lvlText w:val="%7."/>
      <w:lvlJc w:val="left"/>
      <w:pPr>
        <w:tabs>
          <w:tab w:val="num" w:pos="5400"/>
        </w:tabs>
        <w:ind w:left="5400" w:hanging="360"/>
      </w:pPr>
    </w:lvl>
    <w:lvl w:ilvl="7" w:tentative="1">
      <w:start w:val="1"/>
      <w:numFmt w:val="upperLetter"/>
      <w:lvlText w:val="%8."/>
      <w:lvlJc w:val="left"/>
      <w:pPr>
        <w:tabs>
          <w:tab w:val="num" w:pos="6120"/>
        </w:tabs>
        <w:ind w:left="6120" w:hanging="360"/>
      </w:pPr>
    </w:lvl>
    <w:lvl w:ilvl="8" w:tentative="1">
      <w:start w:val="1"/>
      <w:numFmt w:val="upperLetter"/>
      <w:lvlText w:val="%9."/>
      <w:lvlJc w:val="left"/>
      <w:pPr>
        <w:tabs>
          <w:tab w:val="num" w:pos="6840"/>
        </w:tabs>
        <w:ind w:left="6840" w:hanging="360"/>
      </w:pPr>
    </w:lvl>
  </w:abstractNum>
  <w:abstractNum w:abstractNumId="28" w15:restartNumberingAfterBreak="0">
    <w:nsid w:val="59583E75"/>
    <w:multiLevelType w:val="hybridMultilevel"/>
    <w:tmpl w:val="7946EF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AF544FE"/>
    <w:multiLevelType w:val="hybridMultilevel"/>
    <w:tmpl w:val="034E36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D723073"/>
    <w:multiLevelType w:val="hybridMultilevel"/>
    <w:tmpl w:val="BB5420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FDF350C"/>
    <w:multiLevelType w:val="hybridMultilevel"/>
    <w:tmpl w:val="875A2B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19E2DBB"/>
    <w:multiLevelType w:val="hybridMultilevel"/>
    <w:tmpl w:val="3C4C84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1A66B05"/>
    <w:multiLevelType w:val="hybridMultilevel"/>
    <w:tmpl w:val="EA94E9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1C45597"/>
    <w:multiLevelType w:val="hybridMultilevel"/>
    <w:tmpl w:val="73923C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3883388"/>
    <w:multiLevelType w:val="multilevel"/>
    <w:tmpl w:val="6158F5B8"/>
    <w:lvl w:ilvl="0">
      <w:start w:val="5"/>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36" w15:restartNumberingAfterBreak="0">
    <w:nsid w:val="64096A8B"/>
    <w:multiLevelType w:val="hybridMultilevel"/>
    <w:tmpl w:val="978C7D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A4B7B55"/>
    <w:multiLevelType w:val="hybridMultilevel"/>
    <w:tmpl w:val="8BA0E2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C890568"/>
    <w:multiLevelType w:val="hybridMultilevel"/>
    <w:tmpl w:val="0F1AA9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25447D5"/>
    <w:multiLevelType w:val="multilevel"/>
    <w:tmpl w:val="0B286678"/>
    <w:lvl w:ilvl="0">
      <w:start w:val="2"/>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40" w15:restartNumberingAfterBreak="0">
    <w:nsid w:val="72736CE6"/>
    <w:multiLevelType w:val="hybridMultilevel"/>
    <w:tmpl w:val="F2D43A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2A32F16"/>
    <w:multiLevelType w:val="multilevel"/>
    <w:tmpl w:val="5176964E"/>
    <w:lvl w:ilvl="0">
      <w:start w:val="1"/>
      <w:numFmt w:val="upperLetter"/>
      <w:lvlText w:val="%1."/>
      <w:lvlJc w:val="left"/>
      <w:pPr>
        <w:tabs>
          <w:tab w:val="num" w:pos="720"/>
        </w:tabs>
        <w:ind w:left="720" w:hanging="360"/>
      </w:pPr>
    </w:lvl>
    <w:lvl w:ilvl="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42" w15:restartNumberingAfterBreak="0">
    <w:nsid w:val="731650F9"/>
    <w:multiLevelType w:val="hybridMultilevel"/>
    <w:tmpl w:val="322C194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3" w15:restartNumberingAfterBreak="0">
    <w:nsid w:val="75C015A3"/>
    <w:multiLevelType w:val="multilevel"/>
    <w:tmpl w:val="131A0EEC"/>
    <w:lvl w:ilvl="0">
      <w:start w:val="1"/>
      <w:numFmt w:val="decimal"/>
      <w:lvlText w:val="%1."/>
      <w:lvlJc w:val="left"/>
      <w:pPr>
        <w:tabs>
          <w:tab w:val="num" w:pos="1080"/>
        </w:tabs>
        <w:ind w:left="1080" w:hanging="360"/>
      </w:pPr>
    </w:lvl>
    <w:lvl w:ilvl="1">
      <w:start w:val="1"/>
      <w:numFmt w:val="decimal"/>
      <w:lvlText w:val="%2."/>
      <w:lvlJc w:val="left"/>
      <w:pPr>
        <w:tabs>
          <w:tab w:val="num" w:pos="1800"/>
        </w:tabs>
        <w:ind w:left="1800" w:hanging="360"/>
      </w:pPr>
    </w:lvl>
    <w:lvl w:ilvl="2" w:tentative="1">
      <w:start w:val="1"/>
      <w:numFmt w:val="upperLetter"/>
      <w:lvlText w:val="%3."/>
      <w:lvlJc w:val="left"/>
      <w:pPr>
        <w:tabs>
          <w:tab w:val="num" w:pos="2520"/>
        </w:tabs>
        <w:ind w:left="2520" w:hanging="360"/>
      </w:pPr>
    </w:lvl>
    <w:lvl w:ilvl="3" w:tentative="1">
      <w:start w:val="1"/>
      <w:numFmt w:val="upperLetter"/>
      <w:lvlText w:val="%4."/>
      <w:lvlJc w:val="left"/>
      <w:pPr>
        <w:tabs>
          <w:tab w:val="num" w:pos="3240"/>
        </w:tabs>
        <w:ind w:left="3240" w:hanging="360"/>
      </w:pPr>
    </w:lvl>
    <w:lvl w:ilvl="4" w:tentative="1">
      <w:start w:val="1"/>
      <w:numFmt w:val="upperLetter"/>
      <w:lvlText w:val="%5."/>
      <w:lvlJc w:val="left"/>
      <w:pPr>
        <w:tabs>
          <w:tab w:val="num" w:pos="3960"/>
        </w:tabs>
        <w:ind w:left="3960" w:hanging="360"/>
      </w:pPr>
    </w:lvl>
    <w:lvl w:ilvl="5" w:tentative="1">
      <w:start w:val="1"/>
      <w:numFmt w:val="upperLetter"/>
      <w:lvlText w:val="%6."/>
      <w:lvlJc w:val="left"/>
      <w:pPr>
        <w:tabs>
          <w:tab w:val="num" w:pos="4680"/>
        </w:tabs>
        <w:ind w:left="4680" w:hanging="360"/>
      </w:pPr>
    </w:lvl>
    <w:lvl w:ilvl="6" w:tentative="1">
      <w:start w:val="1"/>
      <w:numFmt w:val="upperLetter"/>
      <w:lvlText w:val="%7."/>
      <w:lvlJc w:val="left"/>
      <w:pPr>
        <w:tabs>
          <w:tab w:val="num" w:pos="5400"/>
        </w:tabs>
        <w:ind w:left="5400" w:hanging="360"/>
      </w:pPr>
    </w:lvl>
    <w:lvl w:ilvl="7" w:tentative="1">
      <w:start w:val="1"/>
      <w:numFmt w:val="upperLetter"/>
      <w:lvlText w:val="%8."/>
      <w:lvlJc w:val="left"/>
      <w:pPr>
        <w:tabs>
          <w:tab w:val="num" w:pos="6120"/>
        </w:tabs>
        <w:ind w:left="6120" w:hanging="360"/>
      </w:pPr>
    </w:lvl>
    <w:lvl w:ilvl="8" w:tentative="1">
      <w:start w:val="1"/>
      <w:numFmt w:val="upperLetter"/>
      <w:lvlText w:val="%9."/>
      <w:lvlJc w:val="left"/>
      <w:pPr>
        <w:tabs>
          <w:tab w:val="num" w:pos="6840"/>
        </w:tabs>
        <w:ind w:left="6840" w:hanging="360"/>
      </w:pPr>
    </w:lvl>
  </w:abstractNum>
  <w:abstractNum w:abstractNumId="44" w15:restartNumberingAfterBreak="0">
    <w:nsid w:val="76600D74"/>
    <w:multiLevelType w:val="hybridMultilevel"/>
    <w:tmpl w:val="81AE989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5" w15:restartNumberingAfterBreak="0">
    <w:nsid w:val="7696172A"/>
    <w:multiLevelType w:val="hybridMultilevel"/>
    <w:tmpl w:val="D8B06A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BCE68B3"/>
    <w:multiLevelType w:val="hybridMultilevel"/>
    <w:tmpl w:val="B41060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42129430">
    <w:abstractNumId w:val="17"/>
  </w:num>
  <w:num w:numId="2" w16cid:durableId="687873110">
    <w:abstractNumId w:val="11"/>
  </w:num>
  <w:num w:numId="3" w16cid:durableId="666060609">
    <w:abstractNumId w:val="7"/>
  </w:num>
  <w:num w:numId="4" w16cid:durableId="699355149">
    <w:abstractNumId w:val="20"/>
  </w:num>
  <w:num w:numId="5" w16cid:durableId="131558719">
    <w:abstractNumId w:val="1"/>
  </w:num>
  <w:num w:numId="6" w16cid:durableId="865337636">
    <w:abstractNumId w:val="5"/>
  </w:num>
  <w:num w:numId="7" w16cid:durableId="897128864">
    <w:abstractNumId w:val="13"/>
  </w:num>
  <w:num w:numId="8" w16cid:durableId="791093725">
    <w:abstractNumId w:val="36"/>
  </w:num>
  <w:num w:numId="9" w16cid:durableId="1108743387">
    <w:abstractNumId w:val="45"/>
  </w:num>
  <w:num w:numId="10" w16cid:durableId="1321229772">
    <w:abstractNumId w:val="40"/>
  </w:num>
  <w:num w:numId="11" w16cid:durableId="160699465">
    <w:abstractNumId w:val="29"/>
  </w:num>
  <w:num w:numId="12" w16cid:durableId="220866446">
    <w:abstractNumId w:val="25"/>
  </w:num>
  <w:num w:numId="13" w16cid:durableId="2134784042">
    <w:abstractNumId w:val="32"/>
  </w:num>
  <w:num w:numId="14" w16cid:durableId="841630122">
    <w:abstractNumId w:val="38"/>
  </w:num>
  <w:num w:numId="15" w16cid:durableId="1489321413">
    <w:abstractNumId w:val="46"/>
  </w:num>
  <w:num w:numId="16" w16cid:durableId="1131822657">
    <w:abstractNumId w:val="0"/>
  </w:num>
  <w:num w:numId="17" w16cid:durableId="2034113498">
    <w:abstractNumId w:val="21"/>
  </w:num>
  <w:num w:numId="18" w16cid:durableId="1703020420">
    <w:abstractNumId w:val="24"/>
  </w:num>
  <w:num w:numId="19" w16cid:durableId="595941611">
    <w:abstractNumId w:val="33"/>
  </w:num>
  <w:num w:numId="20" w16cid:durableId="1082411273">
    <w:abstractNumId w:val="44"/>
  </w:num>
  <w:num w:numId="21" w16cid:durableId="1775856750">
    <w:abstractNumId w:val="34"/>
  </w:num>
  <w:num w:numId="22" w16cid:durableId="683553111">
    <w:abstractNumId w:val="15"/>
  </w:num>
  <w:num w:numId="23" w16cid:durableId="847524432">
    <w:abstractNumId w:val="42"/>
  </w:num>
  <w:num w:numId="24" w16cid:durableId="1670676256">
    <w:abstractNumId w:val="22"/>
  </w:num>
  <w:num w:numId="25" w16cid:durableId="1523400188">
    <w:abstractNumId w:val="37"/>
  </w:num>
  <w:num w:numId="26" w16cid:durableId="411510813">
    <w:abstractNumId w:val="3"/>
  </w:num>
  <w:num w:numId="27" w16cid:durableId="781655083">
    <w:abstractNumId w:val="19"/>
  </w:num>
  <w:num w:numId="28" w16cid:durableId="455174220">
    <w:abstractNumId w:val="41"/>
  </w:num>
  <w:num w:numId="29" w16cid:durableId="1394813713">
    <w:abstractNumId w:val="39"/>
  </w:num>
  <w:num w:numId="30" w16cid:durableId="561596768">
    <w:abstractNumId w:val="16"/>
  </w:num>
  <w:num w:numId="31" w16cid:durableId="1880896963">
    <w:abstractNumId w:val="9"/>
  </w:num>
  <w:num w:numId="32" w16cid:durableId="1748069172">
    <w:abstractNumId w:val="35"/>
  </w:num>
  <w:num w:numId="33" w16cid:durableId="1264656280">
    <w:abstractNumId w:val="2"/>
  </w:num>
  <w:num w:numId="34" w16cid:durableId="1108885912">
    <w:abstractNumId w:val="18"/>
  </w:num>
  <w:num w:numId="35" w16cid:durableId="1546410294">
    <w:abstractNumId w:val="27"/>
  </w:num>
  <w:num w:numId="36" w16cid:durableId="1480686777">
    <w:abstractNumId w:val="23"/>
  </w:num>
  <w:num w:numId="37" w16cid:durableId="147522410">
    <w:abstractNumId w:val="43"/>
  </w:num>
  <w:num w:numId="38" w16cid:durableId="155728580">
    <w:abstractNumId w:val="26"/>
  </w:num>
  <w:num w:numId="39" w16cid:durableId="1077940666">
    <w:abstractNumId w:val="8"/>
  </w:num>
  <w:num w:numId="40" w16cid:durableId="58872313">
    <w:abstractNumId w:val="28"/>
  </w:num>
  <w:num w:numId="41" w16cid:durableId="849681823">
    <w:abstractNumId w:val="4"/>
  </w:num>
  <w:num w:numId="42" w16cid:durableId="947082332">
    <w:abstractNumId w:val="6"/>
  </w:num>
  <w:num w:numId="43" w16cid:durableId="807011400">
    <w:abstractNumId w:val="31"/>
  </w:num>
  <w:num w:numId="44" w16cid:durableId="251862149">
    <w:abstractNumId w:val="30"/>
  </w:num>
  <w:num w:numId="45" w16cid:durableId="58359550">
    <w:abstractNumId w:val="14"/>
  </w:num>
  <w:num w:numId="46" w16cid:durableId="989137200">
    <w:abstractNumId w:val="10"/>
  </w:num>
  <w:num w:numId="47" w16cid:durableId="13017853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3C46"/>
    <w:rsid w:val="00000788"/>
    <w:rsid w:val="00002C2E"/>
    <w:rsid w:val="000069AD"/>
    <w:rsid w:val="00011A35"/>
    <w:rsid w:val="0002482E"/>
    <w:rsid w:val="00024F54"/>
    <w:rsid w:val="00031FC3"/>
    <w:rsid w:val="00032FDD"/>
    <w:rsid w:val="00050324"/>
    <w:rsid w:val="00051BD5"/>
    <w:rsid w:val="0005694B"/>
    <w:rsid w:val="00057CC9"/>
    <w:rsid w:val="00061993"/>
    <w:rsid w:val="00095A52"/>
    <w:rsid w:val="000A0150"/>
    <w:rsid w:val="000A4080"/>
    <w:rsid w:val="000A4255"/>
    <w:rsid w:val="000B2061"/>
    <w:rsid w:val="000D1452"/>
    <w:rsid w:val="000E63C9"/>
    <w:rsid w:val="000E6765"/>
    <w:rsid w:val="000F6D94"/>
    <w:rsid w:val="00101E3F"/>
    <w:rsid w:val="00106DB5"/>
    <w:rsid w:val="001124B9"/>
    <w:rsid w:val="00116A91"/>
    <w:rsid w:val="0012536C"/>
    <w:rsid w:val="00130C25"/>
    <w:rsid w:val="00130E9D"/>
    <w:rsid w:val="00131438"/>
    <w:rsid w:val="00150A6D"/>
    <w:rsid w:val="00160115"/>
    <w:rsid w:val="00177C9F"/>
    <w:rsid w:val="00181F90"/>
    <w:rsid w:val="00185B35"/>
    <w:rsid w:val="001A1F2A"/>
    <w:rsid w:val="001B078C"/>
    <w:rsid w:val="001D4637"/>
    <w:rsid w:val="001E0CE6"/>
    <w:rsid w:val="001E11C3"/>
    <w:rsid w:val="001E77B5"/>
    <w:rsid w:val="001F2BC8"/>
    <w:rsid w:val="001F5F6B"/>
    <w:rsid w:val="0020745B"/>
    <w:rsid w:val="00220502"/>
    <w:rsid w:val="00233F3B"/>
    <w:rsid w:val="00235059"/>
    <w:rsid w:val="00243EBC"/>
    <w:rsid w:val="0024468A"/>
    <w:rsid w:val="00246A35"/>
    <w:rsid w:val="00267A97"/>
    <w:rsid w:val="00283E9B"/>
    <w:rsid w:val="00284348"/>
    <w:rsid w:val="002A5BDB"/>
    <w:rsid w:val="002B179C"/>
    <w:rsid w:val="002F51F5"/>
    <w:rsid w:val="00302419"/>
    <w:rsid w:val="00312137"/>
    <w:rsid w:val="00323407"/>
    <w:rsid w:val="00330359"/>
    <w:rsid w:val="0033762F"/>
    <w:rsid w:val="00352D01"/>
    <w:rsid w:val="0035503B"/>
    <w:rsid w:val="00366C7E"/>
    <w:rsid w:val="00367C4F"/>
    <w:rsid w:val="00370AA8"/>
    <w:rsid w:val="00374347"/>
    <w:rsid w:val="00384EA3"/>
    <w:rsid w:val="003859F6"/>
    <w:rsid w:val="003A292A"/>
    <w:rsid w:val="003A39A1"/>
    <w:rsid w:val="003B13CD"/>
    <w:rsid w:val="003B4082"/>
    <w:rsid w:val="003B5E52"/>
    <w:rsid w:val="003B78B2"/>
    <w:rsid w:val="003C2191"/>
    <w:rsid w:val="003C5929"/>
    <w:rsid w:val="003C759D"/>
    <w:rsid w:val="003D3863"/>
    <w:rsid w:val="003D3E16"/>
    <w:rsid w:val="003E5A19"/>
    <w:rsid w:val="003F45D4"/>
    <w:rsid w:val="00407622"/>
    <w:rsid w:val="00410CA8"/>
    <w:rsid w:val="004110DE"/>
    <w:rsid w:val="00416232"/>
    <w:rsid w:val="00430333"/>
    <w:rsid w:val="0044085A"/>
    <w:rsid w:val="00445CB6"/>
    <w:rsid w:val="00451003"/>
    <w:rsid w:val="0045276B"/>
    <w:rsid w:val="00456700"/>
    <w:rsid w:val="004679B0"/>
    <w:rsid w:val="00494A4A"/>
    <w:rsid w:val="004A0D6F"/>
    <w:rsid w:val="004A6EB3"/>
    <w:rsid w:val="004B21A5"/>
    <w:rsid w:val="004C178B"/>
    <w:rsid w:val="004F7982"/>
    <w:rsid w:val="005006A8"/>
    <w:rsid w:val="005037F0"/>
    <w:rsid w:val="005043E4"/>
    <w:rsid w:val="00510840"/>
    <w:rsid w:val="00516A86"/>
    <w:rsid w:val="00522938"/>
    <w:rsid w:val="005244D7"/>
    <w:rsid w:val="005275F6"/>
    <w:rsid w:val="0057159E"/>
    <w:rsid w:val="00572102"/>
    <w:rsid w:val="005A7155"/>
    <w:rsid w:val="005B79E3"/>
    <w:rsid w:val="005E6A55"/>
    <w:rsid w:val="005F01A0"/>
    <w:rsid w:val="005F0BB2"/>
    <w:rsid w:val="005F1BB0"/>
    <w:rsid w:val="00602B59"/>
    <w:rsid w:val="0060526E"/>
    <w:rsid w:val="00615848"/>
    <w:rsid w:val="00615FD4"/>
    <w:rsid w:val="00620E7F"/>
    <w:rsid w:val="00630458"/>
    <w:rsid w:val="00642D12"/>
    <w:rsid w:val="00647615"/>
    <w:rsid w:val="00656C4D"/>
    <w:rsid w:val="00664898"/>
    <w:rsid w:val="00665B3C"/>
    <w:rsid w:val="006771A4"/>
    <w:rsid w:val="00692E43"/>
    <w:rsid w:val="006A26BA"/>
    <w:rsid w:val="006A7C20"/>
    <w:rsid w:val="006C0761"/>
    <w:rsid w:val="006D0440"/>
    <w:rsid w:val="006D091A"/>
    <w:rsid w:val="006E5716"/>
    <w:rsid w:val="0070034D"/>
    <w:rsid w:val="00707211"/>
    <w:rsid w:val="00722FF3"/>
    <w:rsid w:val="007302B3"/>
    <w:rsid w:val="00730733"/>
    <w:rsid w:val="00730E3A"/>
    <w:rsid w:val="00732DF3"/>
    <w:rsid w:val="00736AAF"/>
    <w:rsid w:val="00744422"/>
    <w:rsid w:val="00765B2A"/>
    <w:rsid w:val="00783A34"/>
    <w:rsid w:val="00791146"/>
    <w:rsid w:val="00796181"/>
    <w:rsid w:val="007968E8"/>
    <w:rsid w:val="007B765B"/>
    <w:rsid w:val="007C6B52"/>
    <w:rsid w:val="007D16C5"/>
    <w:rsid w:val="007D3012"/>
    <w:rsid w:val="007D70A6"/>
    <w:rsid w:val="007E1440"/>
    <w:rsid w:val="007E23D7"/>
    <w:rsid w:val="007E4DB3"/>
    <w:rsid w:val="007F137F"/>
    <w:rsid w:val="008138A6"/>
    <w:rsid w:val="008233D4"/>
    <w:rsid w:val="00827879"/>
    <w:rsid w:val="00862FE4"/>
    <w:rsid w:val="0086389A"/>
    <w:rsid w:val="00863EC0"/>
    <w:rsid w:val="00871145"/>
    <w:rsid w:val="0087605E"/>
    <w:rsid w:val="0087792B"/>
    <w:rsid w:val="0089277D"/>
    <w:rsid w:val="008A0A69"/>
    <w:rsid w:val="008B0AAE"/>
    <w:rsid w:val="008B1FEE"/>
    <w:rsid w:val="008B3949"/>
    <w:rsid w:val="008C0A59"/>
    <w:rsid w:val="008C3BB1"/>
    <w:rsid w:val="008F048F"/>
    <w:rsid w:val="008F7F10"/>
    <w:rsid w:val="00903C32"/>
    <w:rsid w:val="009052BD"/>
    <w:rsid w:val="00911896"/>
    <w:rsid w:val="0091654B"/>
    <w:rsid w:val="00916B16"/>
    <w:rsid w:val="009173B9"/>
    <w:rsid w:val="009212A5"/>
    <w:rsid w:val="0093335D"/>
    <w:rsid w:val="0093613E"/>
    <w:rsid w:val="00943026"/>
    <w:rsid w:val="0095360E"/>
    <w:rsid w:val="00965508"/>
    <w:rsid w:val="00966B81"/>
    <w:rsid w:val="00990F9F"/>
    <w:rsid w:val="0099699E"/>
    <w:rsid w:val="009B5BDB"/>
    <w:rsid w:val="009C1F84"/>
    <w:rsid w:val="009C7720"/>
    <w:rsid w:val="009E06B0"/>
    <w:rsid w:val="00A23AFA"/>
    <w:rsid w:val="00A31B3E"/>
    <w:rsid w:val="00A42F0F"/>
    <w:rsid w:val="00A532F3"/>
    <w:rsid w:val="00A564A8"/>
    <w:rsid w:val="00A81C4F"/>
    <w:rsid w:val="00A8489E"/>
    <w:rsid w:val="00A84A22"/>
    <w:rsid w:val="00AB11EC"/>
    <w:rsid w:val="00AB1B84"/>
    <w:rsid w:val="00AC0A0D"/>
    <w:rsid w:val="00AC29F3"/>
    <w:rsid w:val="00AC3B0C"/>
    <w:rsid w:val="00AC5D26"/>
    <w:rsid w:val="00AC7967"/>
    <w:rsid w:val="00AD2399"/>
    <w:rsid w:val="00AF103E"/>
    <w:rsid w:val="00AF1922"/>
    <w:rsid w:val="00B06DD2"/>
    <w:rsid w:val="00B1611B"/>
    <w:rsid w:val="00B17210"/>
    <w:rsid w:val="00B231E5"/>
    <w:rsid w:val="00B258C0"/>
    <w:rsid w:val="00B2740A"/>
    <w:rsid w:val="00B27F4A"/>
    <w:rsid w:val="00B300A1"/>
    <w:rsid w:val="00B34A83"/>
    <w:rsid w:val="00B52274"/>
    <w:rsid w:val="00B57800"/>
    <w:rsid w:val="00B765BF"/>
    <w:rsid w:val="00B808F4"/>
    <w:rsid w:val="00B83F27"/>
    <w:rsid w:val="00BA33F7"/>
    <w:rsid w:val="00BC1FD7"/>
    <w:rsid w:val="00BD06CE"/>
    <w:rsid w:val="00BD7F7D"/>
    <w:rsid w:val="00BE0AFB"/>
    <w:rsid w:val="00BE12F3"/>
    <w:rsid w:val="00BE272C"/>
    <w:rsid w:val="00C02B87"/>
    <w:rsid w:val="00C1583F"/>
    <w:rsid w:val="00C22A50"/>
    <w:rsid w:val="00C4086D"/>
    <w:rsid w:val="00C424DE"/>
    <w:rsid w:val="00C44E30"/>
    <w:rsid w:val="00C50611"/>
    <w:rsid w:val="00C529AF"/>
    <w:rsid w:val="00C57B22"/>
    <w:rsid w:val="00C65452"/>
    <w:rsid w:val="00C66E47"/>
    <w:rsid w:val="00C67487"/>
    <w:rsid w:val="00C708CC"/>
    <w:rsid w:val="00C82CC5"/>
    <w:rsid w:val="00C82FC8"/>
    <w:rsid w:val="00CA1896"/>
    <w:rsid w:val="00CA3ACF"/>
    <w:rsid w:val="00CA3C46"/>
    <w:rsid w:val="00CB4B00"/>
    <w:rsid w:val="00CB5B28"/>
    <w:rsid w:val="00CC5640"/>
    <w:rsid w:val="00CE6DE0"/>
    <w:rsid w:val="00CF5371"/>
    <w:rsid w:val="00D0323A"/>
    <w:rsid w:val="00D0559F"/>
    <w:rsid w:val="00D0616E"/>
    <w:rsid w:val="00D077E9"/>
    <w:rsid w:val="00D271B5"/>
    <w:rsid w:val="00D42CB7"/>
    <w:rsid w:val="00D45AD6"/>
    <w:rsid w:val="00D51E2A"/>
    <w:rsid w:val="00D52FBB"/>
    <w:rsid w:val="00D5413D"/>
    <w:rsid w:val="00D570A9"/>
    <w:rsid w:val="00D6005F"/>
    <w:rsid w:val="00D61373"/>
    <w:rsid w:val="00D63B04"/>
    <w:rsid w:val="00D64CE3"/>
    <w:rsid w:val="00D6508A"/>
    <w:rsid w:val="00D70D02"/>
    <w:rsid w:val="00D73225"/>
    <w:rsid w:val="00D755A8"/>
    <w:rsid w:val="00D770C7"/>
    <w:rsid w:val="00D77B45"/>
    <w:rsid w:val="00D86945"/>
    <w:rsid w:val="00D90290"/>
    <w:rsid w:val="00DA1822"/>
    <w:rsid w:val="00DA674E"/>
    <w:rsid w:val="00DD152F"/>
    <w:rsid w:val="00DE213F"/>
    <w:rsid w:val="00DE27C2"/>
    <w:rsid w:val="00DE6F5A"/>
    <w:rsid w:val="00DF027C"/>
    <w:rsid w:val="00E002CC"/>
    <w:rsid w:val="00E00A32"/>
    <w:rsid w:val="00E22ACD"/>
    <w:rsid w:val="00E31D08"/>
    <w:rsid w:val="00E47D4A"/>
    <w:rsid w:val="00E620B0"/>
    <w:rsid w:val="00E6753A"/>
    <w:rsid w:val="00E759E9"/>
    <w:rsid w:val="00E8135A"/>
    <w:rsid w:val="00E81B40"/>
    <w:rsid w:val="00E84BFE"/>
    <w:rsid w:val="00EA7F22"/>
    <w:rsid w:val="00ED05FB"/>
    <w:rsid w:val="00ED1250"/>
    <w:rsid w:val="00EF1922"/>
    <w:rsid w:val="00EF3474"/>
    <w:rsid w:val="00EF555B"/>
    <w:rsid w:val="00F027BB"/>
    <w:rsid w:val="00F11DCF"/>
    <w:rsid w:val="00F130C3"/>
    <w:rsid w:val="00F15832"/>
    <w:rsid w:val="00F162EA"/>
    <w:rsid w:val="00F409CF"/>
    <w:rsid w:val="00F44B97"/>
    <w:rsid w:val="00F45E94"/>
    <w:rsid w:val="00F52D27"/>
    <w:rsid w:val="00F57414"/>
    <w:rsid w:val="00F71C7A"/>
    <w:rsid w:val="00F83527"/>
    <w:rsid w:val="00F8557C"/>
    <w:rsid w:val="00F8596D"/>
    <w:rsid w:val="00FA34F4"/>
    <w:rsid w:val="00FA6291"/>
    <w:rsid w:val="00FA6E2B"/>
    <w:rsid w:val="00FB181D"/>
    <w:rsid w:val="00FB7B25"/>
    <w:rsid w:val="00FC5AB1"/>
    <w:rsid w:val="00FD583F"/>
    <w:rsid w:val="00FD7488"/>
    <w:rsid w:val="00FF16B4"/>
    <w:rsid w:val="6AA1EED5"/>
  </w:rsids>
  <m:mathPr>
    <m:mathFont m:val="Cambria Math"/>
    <m:brkBin m:val="before"/>
    <m:brkBinSub m:val="--"/>
    <m:smallFrac m:val="0"/>
    <m:dispDef/>
    <m:lMargin m:val="1440"/>
    <m:rMargin m:val="1440"/>
    <m:defJc m:val="centerGroup"/>
    <m:wrapIndent m:val="1440"/>
    <m:intLim m:val="subSup"/>
    <m:naryLim m:val="undOvr"/>
  </m:mathPr>
  <w:attachedSchema w:val="http://schemas.microsoft.com/temp/samples"/>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111D8E"/>
  <w15:docId w15:val="{01EB2B56-8B29-48E4-B0E2-FBB8FE3ABB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7" w:qFormat="1"/>
    <w:lsdException w:name="heading 2" w:uiPriority="4" w:qFormat="1"/>
    <w:lsdException w:name="heading 3" w:semiHidden="1" w:uiPriority="9" w:unhideWhenUsed="1" w:qFormat="1"/>
    <w:lsdException w:name="heading 4" w:semiHidden="1" w:uiPriority="9"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5"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3" w:unhideWhenUsed="1" w:qFormat="1"/>
    <w:lsdException w:name="Hyperlink" w:semiHidden="1" w:unhideWhenUsed="1"/>
    <w:lsdException w:name="FollowedHyperlink" w:semiHidden="1" w:unhideWhenUsed="1"/>
    <w:lsdException w:name="Strong" w:semiHidden="1" w:uiPriority="2" w:unhideWhenUsed="1" w:qFormat="1"/>
    <w:lsdException w:name="Emphasis" w:semiHidden="1" w:uiPriority="2"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6765"/>
    <w:pPr>
      <w:spacing w:after="0"/>
    </w:pPr>
    <w:rPr>
      <w:rFonts w:eastAsiaTheme="minorEastAsia"/>
      <w:color w:val="0F0D29" w:themeColor="text1"/>
      <w:szCs w:val="22"/>
    </w:rPr>
  </w:style>
  <w:style w:type="paragraph" w:styleId="Heading1">
    <w:name w:val="heading 1"/>
    <w:basedOn w:val="Normal"/>
    <w:link w:val="Heading1Char"/>
    <w:uiPriority w:val="4"/>
    <w:qFormat/>
    <w:rsid w:val="00D077E9"/>
    <w:pPr>
      <w:keepNext/>
      <w:spacing w:before="240" w:after="60"/>
      <w:outlineLvl w:val="0"/>
    </w:pPr>
    <w:rPr>
      <w:rFonts w:asciiTheme="majorHAnsi" w:eastAsiaTheme="majorEastAsia" w:hAnsiTheme="majorHAnsi" w:cstheme="majorBidi"/>
      <w:color w:val="061F57" w:themeColor="text2" w:themeShade="BF"/>
      <w:kern w:val="28"/>
      <w:sz w:val="52"/>
      <w:szCs w:val="32"/>
    </w:rPr>
  </w:style>
  <w:style w:type="paragraph" w:styleId="Heading2">
    <w:name w:val="heading 2"/>
    <w:basedOn w:val="Normal"/>
    <w:next w:val="Normal"/>
    <w:link w:val="Heading2Char"/>
    <w:uiPriority w:val="4"/>
    <w:qFormat/>
    <w:rsid w:val="00DF027C"/>
    <w:pPr>
      <w:keepNext/>
      <w:spacing w:after="240" w:line="240" w:lineRule="auto"/>
      <w:outlineLvl w:val="1"/>
    </w:pPr>
    <w:rPr>
      <w:rFonts w:eastAsiaTheme="majorEastAsia" w:cstheme="majorBidi"/>
      <w:b/>
      <w:sz w:val="36"/>
      <w:szCs w:val="26"/>
    </w:rPr>
  </w:style>
  <w:style w:type="paragraph" w:styleId="Heading3">
    <w:name w:val="heading 3"/>
    <w:basedOn w:val="Normal"/>
    <w:next w:val="Normal"/>
    <w:link w:val="Heading3Char"/>
    <w:uiPriority w:val="9"/>
    <w:unhideWhenUsed/>
    <w:qFormat/>
    <w:rsid w:val="00CA3C46"/>
    <w:pPr>
      <w:keepNext/>
      <w:keepLines/>
      <w:spacing w:before="40" w:line="259" w:lineRule="auto"/>
      <w:outlineLvl w:val="2"/>
    </w:pPr>
    <w:rPr>
      <w:rFonts w:asciiTheme="majorHAnsi" w:eastAsiaTheme="majorEastAsia" w:hAnsiTheme="majorHAnsi" w:cstheme="majorBidi"/>
      <w:b/>
      <w:color w:val="012639" w:themeColor="accent1" w:themeShade="7F"/>
      <w:szCs w:val="24"/>
    </w:rPr>
  </w:style>
  <w:style w:type="paragraph" w:styleId="Heading4">
    <w:name w:val="heading 4"/>
    <w:basedOn w:val="Normal"/>
    <w:next w:val="Normal"/>
    <w:link w:val="Heading4Char"/>
    <w:uiPriority w:val="9"/>
    <w:unhideWhenUsed/>
    <w:qFormat/>
    <w:rsid w:val="000E6765"/>
    <w:pPr>
      <w:keepNext/>
      <w:keepLines/>
      <w:spacing w:before="40" w:line="259" w:lineRule="auto"/>
      <w:outlineLvl w:val="3"/>
    </w:pPr>
    <w:rPr>
      <w:rFonts w:asciiTheme="majorHAnsi" w:eastAsiaTheme="majorEastAsia" w:hAnsiTheme="majorHAnsi" w:cstheme="majorBidi"/>
      <w:i/>
      <w:iCs/>
      <w:color w:val="013A57" w:themeColor="accent1" w:themeShade="BF"/>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styleId="Title">
    <w:name w:val="Title"/>
    <w:basedOn w:val="Normal"/>
    <w:link w:val="TitleChar"/>
    <w:uiPriority w:val="1"/>
    <w:qFormat/>
    <w:rsid w:val="00D86945"/>
    <w:pPr>
      <w:spacing w:after="200" w:line="240" w:lineRule="auto"/>
    </w:pPr>
    <w:rPr>
      <w:rFonts w:asciiTheme="majorHAnsi" w:eastAsiaTheme="majorEastAsia" w:hAnsiTheme="majorHAnsi" w:cstheme="majorBidi"/>
      <w:bCs/>
      <w:sz w:val="72"/>
      <w:szCs w:val="52"/>
    </w:rPr>
  </w:style>
  <w:style w:type="character" w:customStyle="1" w:styleId="TitleChar">
    <w:name w:val="Title Char"/>
    <w:basedOn w:val="DefaultParagraphFont"/>
    <w:link w:val="Title"/>
    <w:uiPriority w:val="1"/>
    <w:rsid w:val="00D86945"/>
    <w:rPr>
      <w:rFonts w:asciiTheme="majorHAnsi" w:eastAsiaTheme="majorEastAsia" w:hAnsiTheme="majorHAnsi" w:cstheme="majorBidi"/>
      <w:b/>
      <w:bCs/>
      <w:color w:val="082A75" w:themeColor="text2"/>
      <w:sz w:val="72"/>
      <w:szCs w:val="52"/>
    </w:rPr>
  </w:style>
  <w:style w:type="paragraph" w:styleId="Subtitle">
    <w:name w:val="Subtitle"/>
    <w:basedOn w:val="Normal"/>
    <w:link w:val="SubtitleChar"/>
    <w:uiPriority w:val="2"/>
    <w:qFormat/>
    <w:rsid w:val="00D86945"/>
    <w:pPr>
      <w:framePr w:hSpace="180" w:wrap="around" w:vAnchor="text" w:hAnchor="margin" w:y="1167"/>
    </w:pPr>
    <w:rPr>
      <w:b/>
      <w:caps/>
      <w:spacing w:val="20"/>
      <w:sz w:val="32"/>
    </w:rPr>
  </w:style>
  <w:style w:type="character" w:customStyle="1" w:styleId="SubtitleChar">
    <w:name w:val="Subtitle Char"/>
    <w:basedOn w:val="DefaultParagraphFont"/>
    <w:link w:val="Subtitle"/>
    <w:uiPriority w:val="2"/>
    <w:rsid w:val="00D86945"/>
    <w:rPr>
      <w:rFonts w:eastAsiaTheme="minorEastAsia"/>
      <w:caps/>
      <w:color w:val="082A75" w:themeColor="text2"/>
      <w:spacing w:val="20"/>
      <w:sz w:val="32"/>
      <w:szCs w:val="22"/>
    </w:rPr>
  </w:style>
  <w:style w:type="character" w:customStyle="1" w:styleId="Heading1Char">
    <w:name w:val="Heading 1 Char"/>
    <w:basedOn w:val="DefaultParagraphFont"/>
    <w:link w:val="Heading1"/>
    <w:uiPriority w:val="4"/>
    <w:rsid w:val="00D077E9"/>
    <w:rPr>
      <w:rFonts w:asciiTheme="majorHAnsi" w:eastAsiaTheme="majorEastAsia" w:hAnsiTheme="majorHAnsi" w:cstheme="majorBidi"/>
      <w:b/>
      <w:color w:val="061F57" w:themeColor="text2" w:themeShade="BF"/>
      <w:kern w:val="28"/>
      <w:sz w:val="52"/>
      <w:szCs w:val="32"/>
    </w:rPr>
  </w:style>
  <w:style w:type="paragraph" w:styleId="Header">
    <w:name w:val="header"/>
    <w:basedOn w:val="Normal"/>
    <w:link w:val="HeaderChar"/>
    <w:uiPriority w:val="99"/>
    <w:unhideWhenUsed/>
    <w:rsid w:val="005037F0"/>
  </w:style>
  <w:style w:type="character" w:customStyle="1" w:styleId="HeaderChar">
    <w:name w:val="Header Char"/>
    <w:basedOn w:val="DefaultParagraphFont"/>
    <w:link w:val="Header"/>
    <w:uiPriority w:val="99"/>
    <w:rsid w:val="0093335D"/>
  </w:style>
  <w:style w:type="paragraph" w:styleId="Footer">
    <w:name w:val="footer"/>
    <w:basedOn w:val="Normal"/>
    <w:link w:val="FooterChar"/>
    <w:uiPriority w:val="99"/>
    <w:unhideWhenUsed/>
    <w:rsid w:val="005037F0"/>
  </w:style>
  <w:style w:type="character" w:customStyle="1" w:styleId="FooterChar">
    <w:name w:val="Footer Char"/>
    <w:basedOn w:val="DefaultParagraphFont"/>
    <w:link w:val="Footer"/>
    <w:uiPriority w:val="99"/>
    <w:rsid w:val="005037F0"/>
    <w:rPr>
      <w:sz w:val="24"/>
      <w:szCs w:val="24"/>
    </w:rPr>
  </w:style>
  <w:style w:type="paragraph" w:customStyle="1" w:styleId="Name">
    <w:name w:val="Name"/>
    <w:basedOn w:val="Normal"/>
    <w:uiPriority w:val="3"/>
    <w:qFormat/>
    <w:rsid w:val="00B231E5"/>
    <w:pPr>
      <w:spacing w:line="240" w:lineRule="auto"/>
      <w:jc w:val="right"/>
    </w:pPr>
  </w:style>
  <w:style w:type="character" w:customStyle="1" w:styleId="Heading2Char">
    <w:name w:val="Heading 2 Char"/>
    <w:basedOn w:val="DefaultParagraphFont"/>
    <w:link w:val="Heading2"/>
    <w:uiPriority w:val="4"/>
    <w:rsid w:val="00DF027C"/>
    <w:rPr>
      <w:rFonts w:eastAsiaTheme="majorEastAsia" w:cstheme="majorBidi"/>
      <w:color w:val="082A75" w:themeColor="text2"/>
      <w:sz w:val="36"/>
      <w:szCs w:val="26"/>
    </w:rPr>
  </w:style>
  <w:style w:type="table" w:styleId="TableGrid">
    <w:name w:val="Table Grid"/>
    <w:basedOn w:val="TableNormal"/>
    <w:uiPriority w:val="39"/>
    <w:rsid w:val="00FF16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unhideWhenUsed/>
    <w:rsid w:val="00D86945"/>
    <w:rPr>
      <w:color w:val="808080"/>
    </w:rPr>
  </w:style>
  <w:style w:type="paragraph" w:customStyle="1" w:styleId="Content">
    <w:name w:val="Content"/>
    <w:basedOn w:val="Normal"/>
    <w:link w:val="ContentChar"/>
    <w:qFormat/>
    <w:rsid w:val="00DF027C"/>
    <w:rPr>
      <w:b/>
    </w:rPr>
  </w:style>
  <w:style w:type="paragraph" w:customStyle="1" w:styleId="EmphasisText">
    <w:name w:val="Emphasis Text"/>
    <w:basedOn w:val="Normal"/>
    <w:link w:val="EmphasisTextChar"/>
    <w:qFormat/>
    <w:rsid w:val="00DF027C"/>
  </w:style>
  <w:style w:type="character" w:customStyle="1" w:styleId="ContentChar">
    <w:name w:val="Content Char"/>
    <w:basedOn w:val="DefaultParagraphFont"/>
    <w:link w:val="Content"/>
    <w:rsid w:val="00DF027C"/>
    <w:rPr>
      <w:rFonts w:eastAsiaTheme="minorEastAsia"/>
      <w:color w:val="082A75" w:themeColor="text2"/>
      <w:sz w:val="28"/>
      <w:szCs w:val="22"/>
    </w:rPr>
  </w:style>
  <w:style w:type="character" w:customStyle="1" w:styleId="EmphasisTextChar">
    <w:name w:val="Emphasis Text Char"/>
    <w:basedOn w:val="DefaultParagraphFont"/>
    <w:link w:val="EmphasisText"/>
    <w:rsid w:val="00DF027C"/>
    <w:rPr>
      <w:rFonts w:eastAsiaTheme="minorEastAsia"/>
      <w:b/>
      <w:color w:val="082A75" w:themeColor="text2"/>
      <w:sz w:val="28"/>
      <w:szCs w:val="22"/>
    </w:rPr>
  </w:style>
  <w:style w:type="character" w:customStyle="1" w:styleId="Heading3Char">
    <w:name w:val="Heading 3 Char"/>
    <w:basedOn w:val="DefaultParagraphFont"/>
    <w:link w:val="Heading3"/>
    <w:uiPriority w:val="9"/>
    <w:rsid w:val="00CA3C46"/>
    <w:rPr>
      <w:rFonts w:asciiTheme="majorHAnsi" w:eastAsiaTheme="majorEastAsia" w:hAnsiTheme="majorHAnsi" w:cstheme="majorBidi"/>
      <w:color w:val="012639" w:themeColor="accent1" w:themeShade="7F"/>
    </w:rPr>
  </w:style>
  <w:style w:type="character" w:styleId="Hyperlink">
    <w:name w:val="Hyperlink"/>
    <w:basedOn w:val="DefaultParagraphFont"/>
    <w:uiPriority w:val="99"/>
    <w:unhideWhenUsed/>
    <w:rsid w:val="00CA3C46"/>
    <w:rPr>
      <w:color w:val="3592CF" w:themeColor="hyperlink"/>
      <w:u w:val="single"/>
    </w:rPr>
  </w:style>
  <w:style w:type="paragraph" w:styleId="ListParagraph">
    <w:name w:val="List Paragraph"/>
    <w:basedOn w:val="Normal"/>
    <w:uiPriority w:val="34"/>
    <w:qFormat/>
    <w:rsid w:val="007F137F"/>
    <w:pPr>
      <w:spacing w:after="160" w:line="259" w:lineRule="auto"/>
      <w:ind w:left="720"/>
      <w:contextualSpacing/>
    </w:pPr>
    <w:rPr>
      <w:rFonts w:eastAsiaTheme="minorHAnsi"/>
      <w:color w:val="auto"/>
    </w:rPr>
  </w:style>
  <w:style w:type="character" w:customStyle="1" w:styleId="Heading4Char">
    <w:name w:val="Heading 4 Char"/>
    <w:basedOn w:val="DefaultParagraphFont"/>
    <w:link w:val="Heading4"/>
    <w:uiPriority w:val="9"/>
    <w:rsid w:val="000E6765"/>
    <w:rPr>
      <w:rFonts w:asciiTheme="majorHAnsi" w:eastAsiaTheme="majorEastAsia" w:hAnsiTheme="majorHAnsi" w:cstheme="majorBidi"/>
      <w:i/>
      <w:iCs/>
      <w:color w:val="013A57" w:themeColor="accent1" w:themeShade="BF"/>
      <w:sz w:val="22"/>
      <w:szCs w:val="22"/>
    </w:rPr>
  </w:style>
  <w:style w:type="character" w:styleId="CommentReference">
    <w:name w:val="annotation reference"/>
    <w:basedOn w:val="DefaultParagraphFont"/>
    <w:uiPriority w:val="99"/>
    <w:semiHidden/>
    <w:unhideWhenUsed/>
    <w:rsid w:val="000E6765"/>
    <w:rPr>
      <w:sz w:val="16"/>
      <w:szCs w:val="16"/>
    </w:rPr>
  </w:style>
  <w:style w:type="paragraph" w:styleId="CommentText">
    <w:name w:val="annotation text"/>
    <w:basedOn w:val="Normal"/>
    <w:link w:val="CommentTextChar"/>
    <w:uiPriority w:val="99"/>
    <w:semiHidden/>
    <w:unhideWhenUsed/>
    <w:rsid w:val="000E6765"/>
    <w:pPr>
      <w:spacing w:after="160" w:line="240" w:lineRule="auto"/>
    </w:pPr>
    <w:rPr>
      <w:rFonts w:eastAsiaTheme="minorHAnsi"/>
      <w:color w:val="auto"/>
      <w:sz w:val="20"/>
      <w:szCs w:val="20"/>
    </w:rPr>
  </w:style>
  <w:style w:type="character" w:customStyle="1" w:styleId="CommentTextChar">
    <w:name w:val="Comment Text Char"/>
    <w:basedOn w:val="DefaultParagraphFont"/>
    <w:link w:val="CommentText"/>
    <w:uiPriority w:val="99"/>
    <w:semiHidden/>
    <w:rsid w:val="000E6765"/>
    <w:rPr>
      <w:sz w:val="20"/>
      <w:szCs w:val="20"/>
    </w:rPr>
  </w:style>
  <w:style w:type="character" w:customStyle="1" w:styleId="ui-provider">
    <w:name w:val="ui-provider"/>
    <w:basedOn w:val="DefaultParagraphFont"/>
    <w:rsid w:val="001A1F2A"/>
  </w:style>
  <w:style w:type="character" w:styleId="UnresolvedMention">
    <w:name w:val="Unresolved Mention"/>
    <w:basedOn w:val="DefaultParagraphFont"/>
    <w:uiPriority w:val="99"/>
    <w:semiHidden/>
    <w:unhideWhenUsed/>
    <w:rsid w:val="007D3012"/>
    <w:rPr>
      <w:color w:val="605E5C"/>
      <w:shd w:val="clear" w:color="auto" w:fill="E1DFDD"/>
    </w:rPr>
  </w:style>
  <w:style w:type="character" w:styleId="FollowedHyperlink">
    <w:name w:val="FollowedHyperlink"/>
    <w:basedOn w:val="DefaultParagraphFont"/>
    <w:uiPriority w:val="99"/>
    <w:semiHidden/>
    <w:unhideWhenUsed/>
    <w:rsid w:val="007D3012"/>
    <w:rPr>
      <w:color w:val="3592CF"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068024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vita.virginia.gov/policy--governance/policies-standards--guidelines/"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https://www.gov.uk/government/news/meet-the-data-quality-dimension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yph85684\AppData\Roaming\Microsoft\Templates\Report%20.dotx" TargetMode="External"/></Relationships>
</file>

<file path=word/theme/theme1.xml><?xml version="1.0" encoding="utf-8"?>
<a:theme xmlns:a="http://schemas.openxmlformats.org/drawingml/2006/main" name="Custom Theme">
  <a:themeElements>
    <a:clrScheme name="Custom 29">
      <a:dk1>
        <a:srgbClr val="0F0D29"/>
      </a:dk1>
      <a:lt1>
        <a:srgbClr val="FFFFFF"/>
      </a:lt1>
      <a:dk2>
        <a:srgbClr val="082A75"/>
      </a:dk2>
      <a:lt2>
        <a:srgbClr val="E7E6E6"/>
      </a:lt2>
      <a:accent1>
        <a:srgbClr val="024F75"/>
      </a:accent1>
      <a:accent2>
        <a:srgbClr val="3592CF"/>
      </a:accent2>
      <a:accent3>
        <a:srgbClr val="34ABA2"/>
      </a:accent3>
      <a:accent4>
        <a:srgbClr val="66B2CA"/>
      </a:accent4>
      <a:accent5>
        <a:srgbClr val="C1D9CB"/>
      </a:accent5>
      <a:accent6>
        <a:srgbClr val="34ABA2"/>
      </a:accent6>
      <a:hlink>
        <a:srgbClr val="3592CF"/>
      </a:hlink>
      <a:folHlink>
        <a:srgbClr val="3592CF"/>
      </a:folHlink>
    </a:clrScheme>
    <a:fontScheme name="Custom 20">
      <a:majorFont>
        <a:latin typeface="Arial"/>
        <a:ea typeface=""/>
        <a:cs typeface=""/>
      </a:majorFont>
      <a:minorFont>
        <a:latin typeface="Calibri"/>
        <a:ea typeface=""/>
        <a:cs typeface=""/>
      </a:minorFont>
    </a:fontScheme>
    <a:fmtScheme name="Office Effects">
      <a:fillStyleLst>
        <a:solidFill>
          <a:schemeClr val="phClr">
            <a:tint val="100000"/>
            <a:shade val="100000"/>
            <a:satMod val="100000"/>
          </a:schemeClr>
        </a:solidFill>
        <a:gradFill rotWithShape="1">
          <a:gsLst>
            <a:gs pos="0">
              <a:schemeClr val="phClr">
                <a:tint val="65000"/>
                <a:shade val="100000"/>
                <a:satMod val="133000"/>
              </a:schemeClr>
            </a:gs>
            <a:gs pos="15000">
              <a:schemeClr val="phClr">
                <a:tint val="50000"/>
                <a:shade val="100000"/>
                <a:satMod val="140000"/>
              </a:schemeClr>
            </a:gs>
            <a:gs pos="100000">
              <a:schemeClr val="phClr">
                <a:tint val="10000"/>
                <a:shade val="100000"/>
                <a:satMod val="135000"/>
              </a:schemeClr>
            </a:gs>
          </a:gsLst>
          <a:lin ang="16200000" scaled="1"/>
        </a:gradFill>
        <a:gradFill rotWithShape="1">
          <a:gsLst>
            <a:gs pos="0">
              <a:schemeClr val="phClr">
                <a:tint val="100000"/>
                <a:shade val="75000"/>
                <a:satMod val="160000"/>
              </a:schemeClr>
            </a:gs>
            <a:gs pos="62000">
              <a:schemeClr val="phClr">
                <a:tint val="100000"/>
                <a:shade val="100000"/>
                <a:satMod val="125000"/>
              </a:schemeClr>
            </a:gs>
            <a:gs pos="100000">
              <a:schemeClr val="phClr">
                <a:tint val="80000"/>
                <a:shade val="100000"/>
                <a:satMod val="140000"/>
              </a:schemeClr>
            </a:gs>
          </a:gsLst>
          <a:lin ang="16200000" scaled="1"/>
        </a:gradFill>
      </a:fillStyleLst>
      <a:lnStyleLst>
        <a:ln w="12700">
          <a:solidFill>
            <a:schemeClr val="phClr"/>
          </a:solidFill>
          <a:prstDash val="solid"/>
        </a:ln>
        <a:ln w="25400">
          <a:solidFill>
            <a:schemeClr val="phClr"/>
          </a:solidFill>
          <a:prstDash val="solid"/>
        </a:ln>
        <a:ln w="38100">
          <a:solidFill>
            <a:schemeClr val="phClr"/>
          </a:solidFill>
          <a:prstDash val="solid"/>
        </a:ln>
      </a:lnStyleLst>
      <a:effectStyleLst>
        <a:effectStyle>
          <a:effectLst>
            <a:outerShdw blurRad="50800" dist="25400" dir="5400000">
              <a:srgbClr val="000000">
                <a:alpha val="43137"/>
              </a:srgbClr>
            </a:outerShdw>
          </a:effectLst>
        </a:effectStyle>
        <a:effectStyle>
          <a:effectLst>
            <a:outerShdw blurRad="50800" dist="38100" dir="5400000">
              <a:srgbClr val="000000">
                <a:alpha val="61176"/>
              </a:srgbClr>
            </a:outerShdw>
          </a:effectLst>
          <a:scene3d>
            <a:camera prst="orthographicFront" fov="0">
              <a:rot lat="0" lon="0" rev="0"/>
            </a:camera>
            <a:lightRig rig="contrasting" dir="t">
              <a:rot lat="0" lon="0" rev="16500000"/>
            </a:lightRig>
          </a:scene3d>
          <a:sp3d contourW="12700" prstMaterial="powder">
            <a:bevelT h="50800"/>
            <a:contourClr>
              <a:schemeClr val="phClr">
                <a:tint val="100000"/>
                <a:shade val="100000"/>
                <a:satMod val="100000"/>
              </a:schemeClr>
            </a:contourClr>
          </a:sp3d>
        </a:effectStyle>
        <a:effectStyle>
          <a:effectLst>
            <a:reflection blurRad="12700" stA="25000" endPos="28000" dist="38100" dir="5400000" sy="-100000"/>
          </a:effectLst>
          <a:scene3d>
            <a:camera prst="orthographicFront" fov="0">
              <a:rot lat="0" lon="0" rev="0"/>
            </a:camera>
            <a:lightRig rig="threePt" dir="t">
              <a:rot lat="0" lon="0" rev="0"/>
            </a:lightRig>
          </a:scene3d>
          <a:sp3d>
            <a:bevelT w="139700" h="38100"/>
            <a:contourClr>
              <a:schemeClr val="phClr">
                <a:tint val="100000"/>
                <a:shade val="100000"/>
                <a:satMod val="100000"/>
              </a:schemeClr>
            </a:contourClr>
          </a:sp3d>
        </a:effectStyle>
      </a:effectStyleLst>
      <a:bgFillStyleLst>
        <a:solidFill>
          <a:schemeClr val="phClr">
            <a:tint val="100000"/>
            <a:shade val="100000"/>
            <a:satMod val="100000"/>
          </a:schemeClr>
        </a:solidFill>
        <a:gradFill rotWithShape="1">
          <a:gsLst>
            <a:gs pos="0">
              <a:schemeClr val="phClr">
                <a:tint val="100000"/>
                <a:shade val="50000"/>
                <a:satMod val="145000"/>
              </a:schemeClr>
            </a:gs>
            <a:gs pos="40000">
              <a:schemeClr val="phClr">
                <a:tint val="100000"/>
                <a:shade val="70000"/>
                <a:satMod val="145000"/>
              </a:schemeClr>
            </a:gs>
            <a:gs pos="100000">
              <a:schemeClr val="phClr">
                <a:tint val="85000"/>
                <a:shade val="100000"/>
                <a:satMod val="155000"/>
              </a:schemeClr>
            </a:gs>
          </a:gsLst>
          <a:lin ang="16200000" scaled="1"/>
        </a:gradFill>
        <a:gradFill rotWithShape="1">
          <a:gsLst>
            <a:gs pos="0">
              <a:schemeClr val="phClr">
                <a:tint val="100000"/>
                <a:shade val="50000"/>
                <a:satMod val="145000"/>
              </a:schemeClr>
            </a:gs>
            <a:gs pos="30000">
              <a:schemeClr val="phClr">
                <a:tint val="100000"/>
                <a:shade val="65000"/>
                <a:satMod val="155000"/>
              </a:schemeClr>
            </a:gs>
            <a:gs pos="100000">
              <a:schemeClr val="phClr">
                <a:tint val="60000"/>
                <a:shade val="100000"/>
                <a:satMod val="170000"/>
              </a:schemeClr>
            </a:gs>
          </a:gsLst>
          <a:lin ang="16200000" scaled="1"/>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594abcd-5b69-4f0a-85f1-64c8f0f62b52">
      <Terms xmlns="http://schemas.microsoft.com/office/infopath/2007/PartnerControls"/>
    </lcf76f155ced4ddcb4097134ff3c332f>
    <TaxCatchAll xmlns="7045eb7b-c79e-4e4d-ae15-b7707d8cd04b" xsi:nil="true"/>
    <SharedWithUsers xmlns="7045eb7b-c79e-4e4d-ae15-b7707d8cd04b">
      <UserInfo>
        <DisplayName>Wooten, Chris (GOV)</DisplayName>
        <AccountId>17</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0063AC3BD94C343ACF136FEC4D459A6" ma:contentTypeVersion="15" ma:contentTypeDescription="Create a new document." ma:contentTypeScope="" ma:versionID="e77b92fba1c8ee102e317b591c3c3b62">
  <xsd:schema xmlns:xsd="http://www.w3.org/2001/XMLSchema" xmlns:xs="http://www.w3.org/2001/XMLSchema" xmlns:p="http://schemas.microsoft.com/office/2006/metadata/properties" xmlns:ns2="8594abcd-5b69-4f0a-85f1-64c8f0f62b52" xmlns:ns3="7045eb7b-c79e-4e4d-ae15-b7707d8cd04b" targetNamespace="http://schemas.microsoft.com/office/2006/metadata/properties" ma:root="true" ma:fieldsID="03c87ef1cc36ad50b50bd4a3b3e84bc7" ns2:_="" ns3:_="">
    <xsd:import namespace="8594abcd-5b69-4f0a-85f1-64c8f0f62b52"/>
    <xsd:import namespace="7045eb7b-c79e-4e4d-ae15-b7707d8cd04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94abcd-5b69-4f0a-85f1-64c8f0f62b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0920e099-540f-4e49-b54d-0e500676ccfd"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045eb7b-c79e-4e4d-ae15-b7707d8cd04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62d3fdab-bab0-4836-8522-da93a14b5f6c}" ma:internalName="TaxCatchAll" ma:showField="CatchAllData" ma:web="7045eb7b-c79e-4e4d-ae15-b7707d8cd04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9AA98D-1D2E-4893-B57D-B23C3F519F41}">
  <ds:schemaRefs>
    <ds:schemaRef ds:uri="http://schemas.microsoft.com/office/2006/metadata/properties"/>
    <ds:schemaRef ds:uri="http://schemas.microsoft.com/office/infopath/2007/PartnerControls"/>
    <ds:schemaRef ds:uri="8594abcd-5b69-4f0a-85f1-64c8f0f62b52"/>
    <ds:schemaRef ds:uri="7045eb7b-c79e-4e4d-ae15-b7707d8cd04b"/>
  </ds:schemaRefs>
</ds:datastoreItem>
</file>

<file path=customXml/itemProps2.xml><?xml version="1.0" encoding="utf-8"?>
<ds:datastoreItem xmlns:ds="http://schemas.openxmlformats.org/officeDocument/2006/customXml" ds:itemID="{EAAD0AA4-9D7D-43A7-9C71-DEBA694172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94abcd-5b69-4f0a-85f1-64c8f0f62b52"/>
    <ds:schemaRef ds:uri="7045eb7b-c79e-4e4d-ae15-b7707d8cd0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E0E790A-F3C7-4EDB-AAEB-243B246946E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Report .dotx</Template>
  <TotalTime>21</TotalTime>
  <Pages>4</Pages>
  <Words>1185</Words>
  <Characters>6759</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Data Quality Standards</dc:title>
  <dc:subject/>
  <dc:creator>VITA Program</dc:creator>
  <cp:keywords/>
  <dc:description/>
  <cp:lastModifiedBy>Klich, Erin (ODGA)</cp:lastModifiedBy>
  <cp:revision>20</cp:revision>
  <cp:lastPrinted>2023-01-30T18:56:00Z</cp:lastPrinted>
  <dcterms:created xsi:type="dcterms:W3CDTF">2025-06-09T19:00:00Z</dcterms:created>
  <dcterms:modified xsi:type="dcterms:W3CDTF">2025-06-26T15:00:00Z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TC100670409990</vt:lpwstr>
  </property>
  <property fmtid="{D5CDD505-2E9C-101B-9397-08002B2CF9AE}" pid="3" name="ContentTypeId">
    <vt:lpwstr>0x01010080063AC3BD94C343ACF136FEC4D459A6</vt:lpwstr>
  </property>
  <property fmtid="{D5CDD505-2E9C-101B-9397-08002B2CF9AE}" pid="4" name="MediaServiceImageTags">
    <vt:lpwstr/>
  </property>
</Properties>
</file>